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B35" w:rsidRDefault="00E33B35" w:rsidP="00AC06A6">
      <w:pPr>
        <w:spacing w:afterLines="50" w:line="240" w:lineRule="atLeast"/>
        <w:ind w:firstLineChars="400" w:firstLine="1121"/>
        <w:jc w:val="both"/>
        <w:rPr>
          <w:rFonts w:ascii="標楷體" w:eastAsia="標楷體" w:hAnsi="標楷體" w:hint="eastAsia"/>
          <w:b/>
          <w:color w:val="000000"/>
          <w:sz w:val="16"/>
          <w:szCs w:val="16"/>
        </w:rPr>
      </w:pPr>
      <w:r w:rsidRPr="009B3B6F">
        <w:rPr>
          <w:rFonts w:ascii="標楷體" w:eastAsia="標楷體" w:hAnsi="標楷體" w:hint="eastAsia"/>
          <w:b/>
          <w:color w:val="000000"/>
          <w:sz w:val="28"/>
          <w:szCs w:val="28"/>
        </w:rPr>
        <w:t>苗栗縣苗栗市生命紀念園區納骨堂寄放管理辦法</w:t>
      </w:r>
      <w:r w:rsidR="00AC06A6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</w:p>
    <w:p w:rsidR="00AC06A6" w:rsidRPr="00AC06A6" w:rsidRDefault="00AC06A6" w:rsidP="00AC06A6">
      <w:pPr>
        <w:spacing w:afterLines="50" w:line="240" w:lineRule="atLeast"/>
        <w:ind w:firstLineChars="400" w:firstLine="641"/>
        <w:jc w:val="both"/>
        <w:rPr>
          <w:rFonts w:ascii="標楷體" w:eastAsia="標楷體" w:hAnsi="標楷體"/>
          <w:b/>
          <w:color w:val="000000"/>
          <w:sz w:val="16"/>
          <w:szCs w:val="16"/>
        </w:rPr>
      </w:pPr>
      <w:r>
        <w:rPr>
          <w:rFonts w:ascii="標楷體" w:eastAsia="標楷體" w:hAnsi="標楷體" w:hint="eastAsia"/>
          <w:b/>
          <w:color w:val="000000"/>
          <w:sz w:val="16"/>
          <w:szCs w:val="16"/>
        </w:rPr>
        <w:t xml:space="preserve">                                                              </w:t>
      </w:r>
      <w:r>
        <w:rPr>
          <w:rFonts w:ascii="標楷體" w:eastAsia="標楷體" w:hAnsi="標楷體" w:hint="eastAsia"/>
          <w:b/>
          <w:color w:val="000000"/>
          <w:kern w:val="0"/>
          <w:sz w:val="16"/>
          <w:szCs w:val="16"/>
        </w:rPr>
        <w:t xml:space="preserve">民國110年7月28日苗市殯字第1100014614號令公布 </w:t>
      </w:r>
    </w:p>
    <w:p w:rsidR="00E33B35" w:rsidRPr="00014697" w:rsidRDefault="00E33B35" w:rsidP="00AC06A6">
      <w:pPr>
        <w:spacing w:afterLines="50" w:line="460" w:lineRule="exact"/>
        <w:ind w:left="840" w:hangingChars="300" w:hanging="840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hint="eastAsia"/>
          <w:color w:val="000000"/>
          <w:sz w:val="28"/>
          <w:szCs w:val="28"/>
        </w:rPr>
        <w:t>條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、 　 苗栗市公所(以下簡稱本所)為加強納骨堂使用管理與維護，依據「苗栗縣苗</w:t>
      </w:r>
      <w:r>
        <w:rPr>
          <w:rFonts w:ascii="標楷體" w:eastAsia="標楷體" w:hAnsi="標楷體" w:hint="eastAsia"/>
          <w:color w:val="000000"/>
          <w:sz w:val="28"/>
          <w:szCs w:val="28"/>
        </w:rPr>
        <w:t>栗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市殯葬設施管理自治條例」第二十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條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第三項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規定訂定本辦法。</w:t>
      </w:r>
    </w:p>
    <w:p w:rsidR="00E33B35" w:rsidRPr="00014697" w:rsidRDefault="00E33B35" w:rsidP="00E33B35">
      <w:pPr>
        <w:spacing w:line="460" w:lineRule="exact"/>
        <w:ind w:leftChars="-33" w:left="761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/>
          <w:sz w:val="28"/>
          <w:szCs w:val="28"/>
        </w:rPr>
        <w:t>條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、    有關本辦法相關規定，除法令或「苗栗縣苗栗市殯葬設施管理自治條例」另有規定外，悉依本辦法辦理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33B35" w:rsidRPr="00014697" w:rsidRDefault="00E33B35" w:rsidP="00E33B35">
      <w:pPr>
        <w:spacing w:line="460" w:lineRule="exact"/>
        <w:ind w:leftChars="-50" w:left="558" w:hangingChars="242" w:hanging="67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/>
          <w:sz w:val="28"/>
          <w:szCs w:val="28"/>
        </w:rPr>
        <w:t>條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 xml:space="preserve">、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申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請人欲申請寄放，應攜帶戶籍謄本、身分證、印章、往生者除戶謄本或死亡證明書，另須有火化場開立之火化許可證明書及相關佐證資料至本</w:t>
      </w:r>
      <w:r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 xml:space="preserve">殯葬管理所申請許可。 </w:t>
      </w:r>
    </w:p>
    <w:p w:rsidR="00E33B35" w:rsidRPr="00014697" w:rsidRDefault="00E33B35" w:rsidP="00E33B35">
      <w:pPr>
        <w:spacing w:line="46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 w:hint="eastAsia"/>
          <w:color w:val="000000"/>
          <w:sz w:val="28"/>
          <w:szCs w:val="28"/>
        </w:rPr>
        <w:t>條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 xml:space="preserve">、    </w:t>
      </w:r>
      <w:proofErr w:type="gramStart"/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納骨</w:t>
      </w:r>
      <w:proofErr w:type="gramEnd"/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堂寄放期間最多不得超過二年，使用管理費如下：</w:t>
      </w:r>
    </w:p>
    <w:tbl>
      <w:tblPr>
        <w:tblW w:w="0" w:type="auto"/>
        <w:tblInd w:w="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3"/>
        <w:gridCol w:w="2163"/>
        <w:gridCol w:w="2662"/>
        <w:gridCol w:w="1666"/>
      </w:tblGrid>
      <w:tr w:rsidR="00E33B35" w:rsidRPr="00014697" w:rsidTr="001E0DB8">
        <w:trPr>
          <w:trHeight w:val="467"/>
        </w:trPr>
        <w:tc>
          <w:tcPr>
            <w:tcW w:w="2163" w:type="dxa"/>
          </w:tcPr>
          <w:p w:rsidR="00E33B35" w:rsidRPr="00014697" w:rsidRDefault="00E33B35" w:rsidP="001E0DB8">
            <w:pPr>
              <w:pStyle w:val="a7"/>
              <w:spacing w:before="6" w:line="460" w:lineRule="exact"/>
              <w:ind w:left="1134" w:hanging="1010"/>
              <w:rPr>
                <w:rFonts w:ascii="標楷體" w:eastAsia="標楷體" w:hAnsi="標楷體"/>
                <w:sz w:val="28"/>
                <w:szCs w:val="28"/>
              </w:rPr>
            </w:pPr>
            <w:r w:rsidRPr="00014697">
              <w:rPr>
                <w:rFonts w:ascii="標楷體" w:eastAsia="標楷體" w:hAnsi="標楷體" w:hint="eastAsia"/>
                <w:sz w:val="28"/>
                <w:szCs w:val="28"/>
              </w:rPr>
              <w:t>寄放種類</w:t>
            </w:r>
          </w:p>
        </w:tc>
        <w:tc>
          <w:tcPr>
            <w:tcW w:w="2163" w:type="dxa"/>
          </w:tcPr>
          <w:p w:rsidR="00E33B35" w:rsidRPr="00014697" w:rsidRDefault="00E33B35" w:rsidP="001E0DB8">
            <w:pPr>
              <w:pStyle w:val="a7"/>
              <w:spacing w:before="6" w:line="460" w:lineRule="exact"/>
              <w:ind w:left="1134" w:hanging="1010"/>
              <w:rPr>
                <w:rFonts w:ascii="標楷體" w:eastAsia="標楷體" w:hAnsi="標楷體"/>
                <w:sz w:val="28"/>
                <w:szCs w:val="28"/>
              </w:rPr>
            </w:pPr>
            <w:r w:rsidRPr="00014697">
              <w:rPr>
                <w:rFonts w:ascii="標楷體" w:eastAsia="標楷體" w:hAnsi="標楷體" w:hint="eastAsia"/>
                <w:sz w:val="28"/>
                <w:szCs w:val="28"/>
              </w:rPr>
              <w:t>寄放期間</w:t>
            </w:r>
          </w:p>
        </w:tc>
        <w:tc>
          <w:tcPr>
            <w:tcW w:w="2662" w:type="dxa"/>
          </w:tcPr>
          <w:p w:rsidR="00E33B35" w:rsidRPr="00014697" w:rsidRDefault="00E33B35" w:rsidP="001E0DB8">
            <w:pPr>
              <w:pStyle w:val="a7"/>
              <w:spacing w:before="6" w:line="460" w:lineRule="exact"/>
              <w:ind w:left="1134" w:hanging="1010"/>
              <w:rPr>
                <w:rFonts w:ascii="標楷體" w:eastAsia="標楷體" w:hAnsi="標楷體"/>
                <w:sz w:val="28"/>
                <w:szCs w:val="28"/>
              </w:rPr>
            </w:pPr>
            <w:r w:rsidRPr="00014697">
              <w:rPr>
                <w:rFonts w:ascii="標楷體" w:eastAsia="標楷體" w:hAnsi="標楷體" w:hint="eastAsia"/>
                <w:sz w:val="28"/>
                <w:szCs w:val="28"/>
              </w:rPr>
              <w:t>收費標準</w:t>
            </w:r>
          </w:p>
        </w:tc>
        <w:tc>
          <w:tcPr>
            <w:tcW w:w="1666" w:type="dxa"/>
          </w:tcPr>
          <w:p w:rsidR="00E33B35" w:rsidRPr="00014697" w:rsidRDefault="00E33B35" w:rsidP="001E0DB8">
            <w:pPr>
              <w:pStyle w:val="a7"/>
              <w:spacing w:before="6" w:line="460" w:lineRule="exact"/>
              <w:ind w:left="1134" w:hanging="1010"/>
              <w:rPr>
                <w:rFonts w:ascii="標楷體" w:eastAsia="標楷體" w:hAnsi="標楷體"/>
                <w:sz w:val="28"/>
                <w:szCs w:val="28"/>
              </w:rPr>
            </w:pPr>
            <w:r w:rsidRPr="00014697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33B35" w:rsidRPr="00014697" w:rsidTr="001E0DB8">
        <w:trPr>
          <w:trHeight w:val="419"/>
        </w:trPr>
        <w:tc>
          <w:tcPr>
            <w:tcW w:w="2163" w:type="dxa"/>
          </w:tcPr>
          <w:p w:rsidR="00E33B35" w:rsidRPr="00014697" w:rsidRDefault="00E33B35" w:rsidP="001E0DB8">
            <w:pPr>
              <w:pStyle w:val="a7"/>
              <w:spacing w:before="6" w:line="460" w:lineRule="exact"/>
              <w:ind w:left="1134" w:hanging="1010"/>
              <w:rPr>
                <w:rFonts w:ascii="標楷體" w:eastAsia="標楷體" w:hAnsi="標楷體"/>
                <w:sz w:val="28"/>
                <w:szCs w:val="28"/>
              </w:rPr>
            </w:pPr>
            <w:r w:rsidRPr="00014697">
              <w:rPr>
                <w:rFonts w:ascii="標楷體" w:eastAsia="標楷體" w:hAnsi="標楷體" w:hint="eastAsia"/>
                <w:sz w:val="28"/>
                <w:szCs w:val="28"/>
              </w:rPr>
              <w:t>一般個人櫃位</w:t>
            </w:r>
          </w:p>
        </w:tc>
        <w:tc>
          <w:tcPr>
            <w:tcW w:w="2163" w:type="dxa"/>
          </w:tcPr>
          <w:p w:rsidR="00E33B35" w:rsidRPr="00014697" w:rsidRDefault="00E33B35" w:rsidP="001E0DB8">
            <w:pPr>
              <w:pStyle w:val="a7"/>
              <w:spacing w:before="6" w:line="460" w:lineRule="exact"/>
              <w:ind w:left="1134" w:hanging="1010"/>
              <w:rPr>
                <w:rFonts w:ascii="標楷體" w:eastAsia="標楷體" w:hAnsi="標楷體"/>
                <w:sz w:val="28"/>
                <w:szCs w:val="28"/>
              </w:rPr>
            </w:pPr>
            <w:r w:rsidRPr="00014697">
              <w:rPr>
                <w:rFonts w:ascii="標楷體" w:eastAsia="標楷體" w:hAnsi="標楷體" w:hint="eastAsia"/>
                <w:sz w:val="28"/>
                <w:szCs w:val="28"/>
              </w:rPr>
              <w:t>六個月以下</w:t>
            </w:r>
          </w:p>
        </w:tc>
        <w:tc>
          <w:tcPr>
            <w:tcW w:w="2662" w:type="dxa"/>
          </w:tcPr>
          <w:p w:rsidR="00E33B35" w:rsidRPr="00014697" w:rsidRDefault="00E33B35" w:rsidP="001E0DB8">
            <w:pPr>
              <w:pStyle w:val="a7"/>
              <w:spacing w:before="6" w:line="460" w:lineRule="exact"/>
              <w:ind w:left="1134" w:hanging="1010"/>
              <w:rPr>
                <w:rFonts w:ascii="標楷體" w:eastAsia="標楷體" w:hAnsi="標楷體"/>
                <w:sz w:val="28"/>
                <w:szCs w:val="28"/>
              </w:rPr>
            </w:pPr>
            <w:r w:rsidRPr="00014697">
              <w:rPr>
                <w:rFonts w:ascii="標楷體" w:eastAsia="標楷體" w:hAnsi="標楷體" w:hint="eastAsia"/>
                <w:sz w:val="28"/>
                <w:szCs w:val="28"/>
              </w:rPr>
              <w:t>新臺幣伍仟元</w:t>
            </w:r>
          </w:p>
        </w:tc>
        <w:tc>
          <w:tcPr>
            <w:tcW w:w="1666" w:type="dxa"/>
          </w:tcPr>
          <w:p w:rsidR="00E33B35" w:rsidRPr="00014697" w:rsidRDefault="00E33B35" w:rsidP="001E0DB8">
            <w:pPr>
              <w:pStyle w:val="a7"/>
              <w:spacing w:before="6" w:line="460" w:lineRule="exact"/>
              <w:ind w:left="1134" w:hanging="101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3B35" w:rsidRPr="00014697" w:rsidTr="001E0DB8">
        <w:trPr>
          <w:trHeight w:val="513"/>
        </w:trPr>
        <w:tc>
          <w:tcPr>
            <w:tcW w:w="2163" w:type="dxa"/>
            <w:vMerge w:val="restart"/>
          </w:tcPr>
          <w:p w:rsidR="00E33B35" w:rsidRPr="00014697" w:rsidRDefault="00E33B35" w:rsidP="001E0DB8">
            <w:pPr>
              <w:pStyle w:val="a7"/>
              <w:spacing w:before="6" w:line="460" w:lineRule="exact"/>
              <w:ind w:left="1134" w:hanging="101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3" w:type="dxa"/>
          </w:tcPr>
          <w:p w:rsidR="00E33B35" w:rsidRPr="00014697" w:rsidRDefault="00E33B35" w:rsidP="001E0DB8">
            <w:pPr>
              <w:pStyle w:val="a7"/>
              <w:spacing w:before="6" w:line="460" w:lineRule="exact"/>
              <w:ind w:left="1134" w:hanging="1010"/>
              <w:rPr>
                <w:rFonts w:ascii="標楷體" w:eastAsia="標楷體" w:hAnsi="標楷體"/>
                <w:sz w:val="28"/>
                <w:szCs w:val="28"/>
              </w:rPr>
            </w:pPr>
            <w:r w:rsidRPr="00014697">
              <w:rPr>
                <w:rFonts w:ascii="標楷體" w:eastAsia="標楷體" w:hAnsi="標楷體" w:hint="eastAsia"/>
                <w:sz w:val="28"/>
                <w:szCs w:val="28"/>
              </w:rPr>
              <w:t>六個月至一年</w:t>
            </w:r>
          </w:p>
        </w:tc>
        <w:tc>
          <w:tcPr>
            <w:tcW w:w="2662" w:type="dxa"/>
          </w:tcPr>
          <w:p w:rsidR="00E33B35" w:rsidRPr="00014697" w:rsidRDefault="00E33B35" w:rsidP="001E0DB8">
            <w:pPr>
              <w:pStyle w:val="a7"/>
              <w:spacing w:before="6" w:line="460" w:lineRule="exact"/>
              <w:ind w:left="1134" w:hanging="1010"/>
              <w:rPr>
                <w:rFonts w:ascii="標楷體" w:eastAsia="標楷體" w:hAnsi="標楷體"/>
                <w:sz w:val="28"/>
                <w:szCs w:val="28"/>
              </w:rPr>
            </w:pPr>
            <w:r w:rsidRPr="00014697">
              <w:rPr>
                <w:rFonts w:ascii="標楷體" w:eastAsia="標楷體" w:hAnsi="標楷體" w:hint="eastAsia"/>
                <w:sz w:val="28"/>
                <w:szCs w:val="28"/>
              </w:rPr>
              <w:t>新臺幣壹萬元</w:t>
            </w:r>
          </w:p>
        </w:tc>
        <w:tc>
          <w:tcPr>
            <w:tcW w:w="1666" w:type="dxa"/>
          </w:tcPr>
          <w:p w:rsidR="00E33B35" w:rsidRPr="00014697" w:rsidRDefault="00E33B35" w:rsidP="001E0DB8">
            <w:pPr>
              <w:pStyle w:val="a7"/>
              <w:spacing w:before="6" w:line="460" w:lineRule="exact"/>
              <w:ind w:left="1134" w:hanging="101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3B35" w:rsidRPr="00014697" w:rsidTr="001E0DB8">
        <w:tc>
          <w:tcPr>
            <w:tcW w:w="2163" w:type="dxa"/>
            <w:vMerge/>
          </w:tcPr>
          <w:p w:rsidR="00E33B35" w:rsidRPr="00014697" w:rsidRDefault="00E33B35" w:rsidP="001E0DB8">
            <w:pPr>
              <w:pStyle w:val="a7"/>
              <w:spacing w:before="6" w:line="460" w:lineRule="exact"/>
              <w:ind w:left="1134" w:hanging="101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3" w:type="dxa"/>
          </w:tcPr>
          <w:p w:rsidR="00E33B35" w:rsidRPr="00014697" w:rsidRDefault="00E33B35" w:rsidP="001E0DB8">
            <w:pPr>
              <w:pStyle w:val="a7"/>
              <w:spacing w:before="6" w:line="460" w:lineRule="exact"/>
              <w:ind w:left="1134" w:hanging="1010"/>
              <w:rPr>
                <w:rFonts w:ascii="標楷體" w:eastAsia="標楷體" w:hAnsi="標楷體"/>
                <w:sz w:val="28"/>
                <w:szCs w:val="28"/>
              </w:rPr>
            </w:pPr>
            <w:r w:rsidRPr="00014697">
              <w:rPr>
                <w:rFonts w:ascii="標楷體" w:eastAsia="標楷體" w:hAnsi="標楷體" w:hint="eastAsia"/>
                <w:sz w:val="28"/>
                <w:szCs w:val="28"/>
              </w:rPr>
              <w:t>一年至一年半</w:t>
            </w:r>
          </w:p>
        </w:tc>
        <w:tc>
          <w:tcPr>
            <w:tcW w:w="2662" w:type="dxa"/>
          </w:tcPr>
          <w:p w:rsidR="00E33B35" w:rsidRPr="00014697" w:rsidRDefault="00E33B35" w:rsidP="001E0DB8">
            <w:pPr>
              <w:pStyle w:val="a7"/>
              <w:spacing w:before="6" w:line="460" w:lineRule="exact"/>
              <w:ind w:left="1134" w:hanging="1010"/>
              <w:rPr>
                <w:rFonts w:ascii="標楷體" w:eastAsia="標楷體" w:hAnsi="標楷體"/>
                <w:sz w:val="28"/>
                <w:szCs w:val="28"/>
              </w:rPr>
            </w:pPr>
            <w:r w:rsidRPr="00014697">
              <w:rPr>
                <w:rFonts w:ascii="標楷體" w:eastAsia="標楷體" w:hAnsi="標楷體" w:hint="eastAsia"/>
                <w:sz w:val="28"/>
                <w:szCs w:val="28"/>
              </w:rPr>
              <w:t>新臺幣壹萬伍仟元</w:t>
            </w:r>
          </w:p>
        </w:tc>
        <w:tc>
          <w:tcPr>
            <w:tcW w:w="1666" w:type="dxa"/>
          </w:tcPr>
          <w:p w:rsidR="00E33B35" w:rsidRPr="00014697" w:rsidRDefault="00E33B35" w:rsidP="001E0DB8">
            <w:pPr>
              <w:pStyle w:val="a7"/>
              <w:spacing w:before="6" w:line="460" w:lineRule="exact"/>
              <w:ind w:left="1134" w:hanging="101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3B35" w:rsidRPr="00014697" w:rsidTr="001E0DB8">
        <w:tc>
          <w:tcPr>
            <w:tcW w:w="2163" w:type="dxa"/>
            <w:vMerge/>
          </w:tcPr>
          <w:p w:rsidR="00E33B35" w:rsidRPr="00014697" w:rsidRDefault="00E33B35" w:rsidP="001E0DB8">
            <w:pPr>
              <w:pStyle w:val="a7"/>
              <w:spacing w:before="6" w:line="460" w:lineRule="exact"/>
              <w:ind w:left="1134" w:hanging="101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3" w:type="dxa"/>
          </w:tcPr>
          <w:p w:rsidR="00E33B35" w:rsidRPr="00014697" w:rsidRDefault="00E33B35" w:rsidP="001E0DB8">
            <w:pPr>
              <w:pStyle w:val="a7"/>
              <w:spacing w:before="6" w:line="460" w:lineRule="exact"/>
              <w:ind w:left="1134" w:hanging="1010"/>
              <w:rPr>
                <w:rFonts w:ascii="標楷體" w:eastAsia="標楷體" w:hAnsi="標楷體"/>
                <w:sz w:val="28"/>
                <w:szCs w:val="28"/>
              </w:rPr>
            </w:pPr>
            <w:r w:rsidRPr="00014697">
              <w:rPr>
                <w:rFonts w:ascii="標楷體" w:eastAsia="標楷體" w:hAnsi="標楷體" w:hint="eastAsia"/>
                <w:sz w:val="28"/>
                <w:szCs w:val="28"/>
              </w:rPr>
              <w:t>一年半至二年</w:t>
            </w:r>
          </w:p>
        </w:tc>
        <w:tc>
          <w:tcPr>
            <w:tcW w:w="2662" w:type="dxa"/>
          </w:tcPr>
          <w:p w:rsidR="00E33B35" w:rsidRPr="00014697" w:rsidRDefault="00E33B35" w:rsidP="001E0DB8">
            <w:pPr>
              <w:pStyle w:val="a7"/>
              <w:spacing w:before="6" w:line="460" w:lineRule="exact"/>
              <w:ind w:left="1134" w:hanging="1010"/>
              <w:rPr>
                <w:rFonts w:ascii="標楷體" w:eastAsia="標楷體" w:hAnsi="標楷體"/>
                <w:sz w:val="28"/>
                <w:szCs w:val="28"/>
              </w:rPr>
            </w:pPr>
            <w:r w:rsidRPr="00014697">
              <w:rPr>
                <w:rFonts w:ascii="標楷體" w:eastAsia="標楷體" w:hAnsi="標楷體" w:hint="eastAsia"/>
                <w:sz w:val="28"/>
                <w:szCs w:val="28"/>
              </w:rPr>
              <w:t>新臺幣貳萬元</w:t>
            </w:r>
          </w:p>
        </w:tc>
        <w:tc>
          <w:tcPr>
            <w:tcW w:w="1666" w:type="dxa"/>
          </w:tcPr>
          <w:p w:rsidR="00E33B35" w:rsidRPr="00014697" w:rsidRDefault="00E33B35" w:rsidP="001E0DB8">
            <w:pPr>
              <w:pStyle w:val="a7"/>
              <w:spacing w:before="6" w:line="460" w:lineRule="exact"/>
              <w:ind w:left="1134" w:hanging="101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33B35" w:rsidRPr="00014697" w:rsidRDefault="00E33B35" w:rsidP="00E33B35">
      <w:pPr>
        <w:spacing w:line="46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hint="eastAsia"/>
          <w:color w:val="000000"/>
          <w:sz w:val="28"/>
          <w:szCs w:val="28"/>
        </w:rPr>
        <w:t>條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申請寄放許可時，應先依本管理辦法繳納使用管理費及保證金；保證金之收取，本市市民新臺幣3萬元，外鄉鎮</w:t>
      </w:r>
      <w:r>
        <w:rPr>
          <w:rFonts w:ascii="標楷體" w:eastAsia="標楷體" w:hAnsi="標楷體" w:hint="eastAsia"/>
          <w:color w:val="000000"/>
          <w:sz w:val="28"/>
          <w:szCs w:val="28"/>
        </w:rPr>
        <w:t>(市)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民眾新臺幣6萬元。</w:t>
      </w:r>
    </w:p>
    <w:p w:rsidR="00E33B35" w:rsidRDefault="00E33B35" w:rsidP="00E33B35">
      <w:pPr>
        <w:spacing w:line="460" w:lineRule="exact"/>
        <w:ind w:firstLineChars="300" w:firstLine="840"/>
        <w:rPr>
          <w:rFonts w:ascii="標楷體" w:eastAsia="標楷體" w:hAnsi="標楷體"/>
          <w:color w:val="000000"/>
          <w:sz w:val="28"/>
          <w:szCs w:val="28"/>
        </w:rPr>
      </w:pP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寄放逾期，本所依逾期寄放期間得自保證金扣除使用管理費後退還。</w:t>
      </w:r>
    </w:p>
    <w:p w:rsidR="00E33B35" w:rsidRPr="00014697" w:rsidRDefault="00E33B35" w:rsidP="00E33B35">
      <w:pPr>
        <w:spacing w:line="46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>
        <w:rPr>
          <w:rFonts w:ascii="標楷體" w:eastAsia="標楷體" w:hAnsi="標楷體" w:hint="eastAsia"/>
          <w:color w:val="000000"/>
          <w:sz w:val="28"/>
          <w:szCs w:val="28"/>
        </w:rPr>
        <w:t>條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、    申請人於寄放期間若欲提前取回，應於七日前告知本所納骨堂管理人員，有關收費金額仍以申請之寄放期間收費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33B35" w:rsidRPr="00014697" w:rsidRDefault="00E33B35" w:rsidP="00E33B35">
      <w:pPr>
        <w:spacing w:line="460" w:lineRule="exact"/>
        <w:ind w:leftChars="-347" w:left="847" w:hangingChars="600" w:hanging="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第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>
        <w:rPr>
          <w:rFonts w:ascii="標楷體" w:eastAsia="標楷體" w:hAnsi="標楷體" w:hint="eastAsia"/>
          <w:color w:val="000000"/>
          <w:sz w:val="28"/>
          <w:szCs w:val="28"/>
        </w:rPr>
        <w:t>條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、    申請人於寄放</w:t>
      </w:r>
      <w:proofErr w:type="gramStart"/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期間屆至未</w:t>
      </w:r>
      <w:proofErr w:type="gramEnd"/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處理寄放之骨灰，經本所書面通知限期一個月內處理，限期內仍未處理者，本所得沒入保證金並得逕行</w:t>
      </w:r>
      <w:r>
        <w:rPr>
          <w:rFonts w:ascii="標楷體" w:eastAsia="標楷體" w:hAnsi="標楷體" w:hint="eastAsia"/>
          <w:color w:val="000000"/>
          <w:sz w:val="28"/>
          <w:szCs w:val="28"/>
        </w:rPr>
        <w:t>處理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，申請人不得異議。</w:t>
      </w:r>
    </w:p>
    <w:p w:rsidR="00E33B35" w:rsidRPr="00014697" w:rsidRDefault="00E33B35" w:rsidP="00E33B35">
      <w:pPr>
        <w:spacing w:line="460" w:lineRule="exact"/>
        <w:ind w:leftChars="-350" w:left="840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第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>
        <w:rPr>
          <w:rFonts w:ascii="標楷體" w:eastAsia="標楷體" w:hAnsi="標楷體" w:hint="eastAsia"/>
          <w:color w:val="000000"/>
          <w:sz w:val="28"/>
          <w:szCs w:val="28"/>
        </w:rPr>
        <w:t>條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、   申請人請於領回骨灰七日前填妥退費申請書，由本所依會計程序將退費匯入申請人帳戶。</w:t>
      </w:r>
    </w:p>
    <w:p w:rsidR="00E33B35" w:rsidRPr="00014697" w:rsidRDefault="00E33B35" w:rsidP="00E33B35">
      <w:pPr>
        <w:spacing w:line="46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>
        <w:rPr>
          <w:rFonts w:ascii="標楷體" w:eastAsia="標楷體" w:hAnsi="標楷體" w:hint="eastAsia"/>
          <w:color w:val="000000"/>
          <w:sz w:val="28"/>
          <w:szCs w:val="28"/>
        </w:rPr>
        <w:t>條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、   申請人請於領回當日確認骨灰物無誤後，由原申請人(申請人若往生，則由同戶籍內人員或法定代理人)領回，若委託他人領回者請填寫委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託書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33B35" w:rsidRDefault="00E33B35" w:rsidP="00E33B35">
      <w:pPr>
        <w:spacing w:line="460" w:lineRule="exact"/>
        <w:ind w:left="846" w:hangingChars="302" w:hanging="846"/>
        <w:rPr>
          <w:rFonts w:ascii="標楷體" w:eastAsia="標楷體" w:hAnsi="標楷體"/>
          <w:color w:val="000000"/>
          <w:sz w:val="28"/>
          <w:szCs w:val="28"/>
        </w:rPr>
      </w:pP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條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、   寄放期間之骨灰罐，管理者應盡善良管理人注意義務，若有損壞應即時通知申請人修護之，如遇不可抗力天災或人為事變，本所不負賠償之責。</w:t>
      </w:r>
    </w:p>
    <w:p w:rsidR="00E33B35" w:rsidRPr="009B3B6F" w:rsidRDefault="00E33B35" w:rsidP="00E33B35">
      <w:pPr>
        <w:spacing w:line="4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十一</w:t>
      </w:r>
      <w:r>
        <w:rPr>
          <w:rFonts w:ascii="標楷體" w:eastAsia="標楷體" w:hAnsi="標楷體" w:hint="eastAsia"/>
          <w:color w:val="000000"/>
          <w:sz w:val="28"/>
          <w:szCs w:val="28"/>
        </w:rPr>
        <w:t>條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、  本辦法送</w:t>
      </w:r>
      <w:r>
        <w:rPr>
          <w:rFonts w:ascii="標楷體" w:eastAsia="標楷體" w:hAnsi="標楷體" w:hint="eastAsia"/>
          <w:color w:val="000000"/>
          <w:sz w:val="28"/>
          <w:szCs w:val="28"/>
        </w:rPr>
        <w:t>苗栗縣苗栗市</w:t>
      </w:r>
      <w:r w:rsidRPr="00014697">
        <w:rPr>
          <w:rFonts w:ascii="標楷體" w:eastAsia="標楷體" w:hAnsi="標楷體" w:hint="eastAsia"/>
          <w:color w:val="000000"/>
          <w:sz w:val="28"/>
          <w:szCs w:val="28"/>
        </w:rPr>
        <w:t>民代表會審查通過後，自公布後實施。</w:t>
      </w:r>
    </w:p>
    <w:p w:rsidR="00E33B35" w:rsidRPr="00F76F68" w:rsidRDefault="00E33B35" w:rsidP="00E33B35">
      <w:pPr>
        <w:pStyle w:val="Default"/>
      </w:pPr>
    </w:p>
    <w:p w:rsidR="0010318E" w:rsidRPr="00E33B35" w:rsidRDefault="0010318E"/>
    <w:sectPr w:rsidR="0010318E" w:rsidRPr="00E33B35" w:rsidSect="00270060">
      <w:footerReference w:type="default" r:id="rId6"/>
      <w:pgSz w:w="11906" w:h="16838"/>
      <w:pgMar w:top="1134" w:right="1134" w:bottom="1134" w:left="1134" w:header="0" w:footer="0" w:gutter="0"/>
      <w:pgNumType w:start="26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E9C" w:rsidRDefault="001D1E9C" w:rsidP="00E33B35">
      <w:r>
        <w:separator/>
      </w:r>
    </w:p>
  </w:endnote>
  <w:endnote w:type="continuationSeparator" w:id="0">
    <w:p w:rsidR="001D1E9C" w:rsidRDefault="001D1E9C" w:rsidP="00E33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275572"/>
      <w:docPartObj>
        <w:docPartGallery w:val="Page Numbers (Bottom of Page)"/>
        <w:docPartUnique/>
      </w:docPartObj>
    </w:sdtPr>
    <w:sdtContent>
      <w:p w:rsidR="00740759" w:rsidRDefault="005E030C">
        <w:pPr>
          <w:pStyle w:val="a5"/>
          <w:jc w:val="center"/>
        </w:pPr>
        <w:r>
          <w:fldChar w:fldCharType="begin"/>
        </w:r>
        <w:r w:rsidR="00EF3EEF">
          <w:instrText xml:space="preserve"> PAGE   \* MERGEFORMAT </w:instrText>
        </w:r>
        <w:r>
          <w:fldChar w:fldCharType="separate"/>
        </w:r>
        <w:r w:rsidR="00AC06A6" w:rsidRPr="00AC06A6">
          <w:rPr>
            <w:noProof/>
            <w:lang w:val="zh-TW"/>
          </w:rPr>
          <w:t>26</w:t>
        </w:r>
        <w:r>
          <w:fldChar w:fldCharType="end"/>
        </w:r>
      </w:p>
    </w:sdtContent>
  </w:sdt>
  <w:p w:rsidR="00955118" w:rsidRDefault="001D1E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E9C" w:rsidRDefault="001D1E9C" w:rsidP="00E33B35">
      <w:r>
        <w:separator/>
      </w:r>
    </w:p>
  </w:footnote>
  <w:footnote w:type="continuationSeparator" w:id="0">
    <w:p w:rsidR="001D1E9C" w:rsidRDefault="001D1E9C" w:rsidP="00E33B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B35"/>
    <w:rsid w:val="0010318E"/>
    <w:rsid w:val="001D1E9C"/>
    <w:rsid w:val="00416858"/>
    <w:rsid w:val="005E030C"/>
    <w:rsid w:val="00792308"/>
    <w:rsid w:val="00AC06A6"/>
    <w:rsid w:val="00E33B35"/>
    <w:rsid w:val="00E67B02"/>
    <w:rsid w:val="00EF3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3B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33B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3B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33B35"/>
    <w:rPr>
      <w:sz w:val="20"/>
      <w:szCs w:val="20"/>
    </w:rPr>
  </w:style>
  <w:style w:type="paragraph" w:styleId="a7">
    <w:name w:val="Body Text"/>
    <w:basedOn w:val="a"/>
    <w:link w:val="a8"/>
    <w:uiPriority w:val="1"/>
    <w:qFormat/>
    <w:rsid w:val="00E33B35"/>
    <w:pPr>
      <w:spacing w:after="140" w:line="276" w:lineRule="auto"/>
    </w:pPr>
  </w:style>
  <w:style w:type="character" w:customStyle="1" w:styleId="a8">
    <w:name w:val="本文 字元"/>
    <w:basedOn w:val="a0"/>
    <w:link w:val="a7"/>
    <w:uiPriority w:val="1"/>
    <w:rsid w:val="00E33B35"/>
  </w:style>
  <w:style w:type="paragraph" w:customStyle="1" w:styleId="Default">
    <w:name w:val="Default"/>
    <w:qFormat/>
    <w:rsid w:val="00E33B35"/>
    <w:pPr>
      <w:widowControl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16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168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2021-07-28T03:08:00Z</cp:lastPrinted>
  <dcterms:created xsi:type="dcterms:W3CDTF">2021-07-28T03:03:00Z</dcterms:created>
  <dcterms:modified xsi:type="dcterms:W3CDTF">2021-07-29T06:46:00Z</dcterms:modified>
</cp:coreProperties>
</file>