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bCs/>
          <w:color w:val="000000"/>
          <w:sz w:val="32"/>
          <w:szCs w:val="32"/>
        </w:rPr>
      </w:pPr>
      <w:r>
        <w:rPr>
          <w:rFonts w:ascii="標楷體" w:hAnsi="標楷體" w:eastAsia="標楷體"/>
          <w:b/>
          <w:bCs/>
          <w:color w:val="000000"/>
          <w:sz w:val="32"/>
          <w:szCs w:val="32"/>
        </w:rPr>
        <w:t>生前殯葬服務預收費用信託定型化契約範本</w:t>
      </w:r>
    </w:p>
    <w:tbl>
      <w:tblPr>
        <w:tblW w:w="10207" w:type="dxa"/>
        <w:jc w:val="left"/>
        <w:tblInd w:w="-398" w:type="dxa"/>
        <w:tblCellMar>
          <w:top w:w="0" w:type="dxa"/>
          <w:left w:w="28" w:type="dxa"/>
          <w:bottom w:w="0" w:type="dxa"/>
          <w:right w:w="28" w:type="dxa"/>
        </w:tblCellMar>
      </w:tblPr>
      <w:tblGrid>
        <w:gridCol w:w="10207"/>
      </w:tblGrid>
      <w:tr>
        <w:trPr/>
        <w:tc>
          <w:tcPr>
            <w:tcW w:w="10207" w:type="dxa"/>
            <w:tcBorders/>
            <w:shd w:fill="auto" w:val="clear"/>
          </w:tcPr>
          <w:p>
            <w:pPr>
              <w:pStyle w:val="Normal"/>
              <w:tabs>
                <w:tab w:val="clear" w:pos="480"/>
                <w:tab w:val="left" w:pos="1992" w:leader="none"/>
              </w:tabs>
              <w:spacing w:lineRule="exact" w:line="500"/>
              <w:ind w:left="0" w:right="113" w:hanging="0"/>
              <w:jc w:val="distribute"/>
              <w:rPr/>
            </w:pPr>
            <w:r>
              <w:rPr/>
            </w:r>
            <w:r>
              <mc:AlternateContent>
                <mc:Choice Requires="wps">
                  <w:drawing>
                    <wp:anchor behindDoc="0" distT="0" distB="0" distL="0" distR="0" simplePos="0" locked="0" layoutInCell="1" allowOverlap="1" relativeHeight="2">
                      <wp:simplePos x="0" y="0"/>
                      <wp:positionH relativeFrom="column">
                        <wp:posOffset>4710430</wp:posOffset>
                      </wp:positionH>
                      <wp:positionV relativeFrom="paragraph">
                        <wp:posOffset>635</wp:posOffset>
                      </wp:positionV>
                      <wp:extent cx="1600200" cy="1227455"/>
                      <wp:effectExtent l="0" t="0" r="0" b="0"/>
                      <wp:wrapNone/>
                      <wp:docPr id="1" name="外框1"/>
                      <a:graphic xmlns:a="http://schemas.openxmlformats.org/drawingml/2006/main">
                        <a:graphicData uri="http://schemas.microsoft.com/office/word/2010/wordprocessingShape">
                          <wps:wsp>
                            <wps:cNvSpPr txBox="1"/>
                            <wps:spPr>
                              <a:xfrm>
                                <a:off x="0" y="0"/>
                                <a:ext cx="1600200" cy="1227455"/>
                              </a:xfrm>
                              <a:prstGeom prst="rect"/>
                            </wps:spPr>
                            <wps:txbx>
                              <w:txbxContent>
                                <w:p>
                                  <w:pPr>
                                    <w:pStyle w:val="Normal"/>
                                    <w:rPr>
                                      <w:rFonts w:ascii="標楷體" w:hAnsi="標楷體" w:eastAsia="標楷體"/>
                                      <w:sz w:val="22"/>
                                      <w:szCs w:val="22"/>
                                      <w:u w:val="single"/>
                                    </w:rPr>
                                  </w:pPr>
                                  <w:r>
                                    <w:rPr>
                                      <w:rFonts w:ascii="標楷體" w:hAnsi="標楷體" w:eastAsia="標楷體"/>
                                      <w:sz w:val="22"/>
                                      <w:szCs w:val="22"/>
                                      <w:u w:val="single"/>
                                    </w:rPr>
                                    <w:t>殯葬禮儀服務業者</w:t>
                                  </w:r>
                                </w:p>
                                <w:p>
                                  <w:pPr>
                                    <w:pStyle w:val="Normal"/>
                                    <w:spacing w:lineRule="exact" w:line="240"/>
                                    <w:rPr>
                                      <w:rFonts w:ascii="標楷體" w:hAnsi="標楷體" w:eastAsia="標楷體"/>
                                      <w:sz w:val="22"/>
                                      <w:szCs w:val="22"/>
                                    </w:rPr>
                                  </w:pPr>
                                  <w:r>
                                    <w:rPr>
                                      <w:rFonts w:ascii="標楷體" w:hAnsi="標楷體" w:eastAsia="標楷體"/>
                                      <w:sz w:val="22"/>
                                      <w:szCs w:val="22"/>
                                    </w:rPr>
                                    <w:t>（即委託人兼受益人，以下簡稱甲方）</w:t>
                                  </w:r>
                                </w:p>
                                <w:p>
                                  <w:pPr>
                                    <w:pStyle w:val="Normal"/>
                                    <w:rPr>
                                      <w:rFonts w:ascii="標楷體" w:hAnsi="標楷體" w:eastAsia="標楷體"/>
                                      <w:sz w:val="22"/>
                                      <w:szCs w:val="22"/>
                                      <w:u w:val="single"/>
                                    </w:rPr>
                                  </w:pPr>
                                  <w:r>
                                    <w:rPr>
                                      <w:rFonts w:ascii="標楷體" w:hAnsi="標楷體" w:eastAsia="標楷體"/>
                                      <w:sz w:val="22"/>
                                      <w:szCs w:val="22"/>
                                      <w:u w:val="single"/>
                                    </w:rPr>
                                    <w:t>信託銀行</w:t>
                                  </w:r>
                                  <w:r>
                                    <w:rPr>
                                      <w:rFonts w:eastAsia="標楷體" w:ascii="標楷體" w:hAnsi="標楷體"/>
                                      <w:sz w:val="22"/>
                                      <w:szCs w:val="22"/>
                                      <w:u w:val="single"/>
                                    </w:rPr>
                                    <w:t>/</w:t>
                                  </w:r>
                                  <w:r>
                                    <w:rPr>
                                      <w:rFonts w:ascii="標楷體" w:hAnsi="標楷體" w:eastAsia="標楷體"/>
                                      <w:sz w:val="22"/>
                                      <w:szCs w:val="22"/>
                                      <w:u w:val="single"/>
                                    </w:rPr>
                                    <w:t>信託公司</w:t>
                                  </w:r>
                                </w:p>
                                <w:p>
                                  <w:pPr>
                                    <w:pStyle w:val="Normal"/>
                                    <w:spacing w:lineRule="exact" w:line="240"/>
                                    <w:rPr>
                                      <w:rFonts w:ascii="標楷體" w:hAnsi="標楷體" w:eastAsia="標楷體"/>
                                      <w:sz w:val="22"/>
                                      <w:szCs w:val="22"/>
                                    </w:rPr>
                                  </w:pPr>
                                  <w:r>
                                    <w:rPr>
                                      <w:rFonts w:ascii="標楷體" w:hAnsi="標楷體" w:eastAsia="標楷體"/>
                                      <w:sz w:val="22"/>
                                      <w:szCs w:val="22"/>
                                    </w:rPr>
                                    <w:t>（即受託人，以下簡稱乙方）</w:t>
                                  </w:r>
                                </w:p>
                              </w:txbxContent>
                            </wps:txbx>
                            <wps:bodyPr anchor="t" lIns="53975" tIns="53975" rIns="53975" bIns="53975">
                              <a:noAutofit/>
                            </wps:bodyPr>
                          </wps:wsp>
                        </a:graphicData>
                      </a:graphic>
                    </wp:anchor>
                  </w:drawing>
                </mc:Choice>
                <mc:Fallback>
                  <w:pict>
                    <v:rect style="position:absolute;rotation:0;width:126pt;height:96.65pt;mso-wrap-distance-left:5.7pt;mso-wrap-distance-right:5.7pt;mso-wrap-distance-top:5.7pt;mso-wrap-distance-bottom:5.7pt;margin-top:0pt;mso-position-vertical-relative:text;margin-left:370.9pt;mso-position-horizontal-relative:text">
                      <v:textbox inset="0.0590277777777778in,0.0590277777777778in,0.0590277777777778in,0.0590277777777778in">
                        <w:txbxContent>
                          <w:p>
                            <w:pPr>
                              <w:pStyle w:val="Normal"/>
                              <w:rPr>
                                <w:rFonts w:ascii="標楷體" w:hAnsi="標楷體" w:eastAsia="標楷體"/>
                                <w:sz w:val="22"/>
                                <w:szCs w:val="22"/>
                                <w:u w:val="single"/>
                              </w:rPr>
                            </w:pPr>
                            <w:r>
                              <w:rPr>
                                <w:rFonts w:ascii="標楷體" w:hAnsi="標楷體" w:eastAsia="標楷體"/>
                                <w:sz w:val="22"/>
                                <w:szCs w:val="22"/>
                                <w:u w:val="single"/>
                              </w:rPr>
                              <w:t>殯葬禮儀服務業者</w:t>
                            </w:r>
                          </w:p>
                          <w:p>
                            <w:pPr>
                              <w:pStyle w:val="Normal"/>
                              <w:spacing w:lineRule="exact" w:line="240"/>
                              <w:rPr>
                                <w:rFonts w:ascii="標楷體" w:hAnsi="標楷體" w:eastAsia="標楷體"/>
                                <w:sz w:val="22"/>
                                <w:szCs w:val="22"/>
                              </w:rPr>
                            </w:pPr>
                            <w:r>
                              <w:rPr>
                                <w:rFonts w:ascii="標楷體" w:hAnsi="標楷體" w:eastAsia="標楷體"/>
                                <w:sz w:val="22"/>
                                <w:szCs w:val="22"/>
                              </w:rPr>
                              <w:t>（即委託人兼受益人，以下簡稱甲方）</w:t>
                            </w:r>
                          </w:p>
                          <w:p>
                            <w:pPr>
                              <w:pStyle w:val="Normal"/>
                              <w:rPr>
                                <w:rFonts w:ascii="標楷體" w:hAnsi="標楷體" w:eastAsia="標楷體"/>
                                <w:sz w:val="22"/>
                                <w:szCs w:val="22"/>
                                <w:u w:val="single"/>
                              </w:rPr>
                            </w:pPr>
                            <w:r>
                              <w:rPr>
                                <w:rFonts w:ascii="標楷體" w:hAnsi="標楷體" w:eastAsia="標楷體"/>
                                <w:sz w:val="22"/>
                                <w:szCs w:val="22"/>
                                <w:u w:val="single"/>
                              </w:rPr>
                              <w:t>信託銀行</w:t>
                            </w:r>
                            <w:r>
                              <w:rPr>
                                <w:rFonts w:eastAsia="標楷體" w:ascii="標楷體" w:hAnsi="標楷體"/>
                                <w:sz w:val="22"/>
                                <w:szCs w:val="22"/>
                                <w:u w:val="single"/>
                              </w:rPr>
                              <w:t>/</w:t>
                            </w:r>
                            <w:r>
                              <w:rPr>
                                <w:rFonts w:ascii="標楷體" w:hAnsi="標楷體" w:eastAsia="標楷體"/>
                                <w:sz w:val="22"/>
                                <w:szCs w:val="22"/>
                                <w:u w:val="single"/>
                              </w:rPr>
                              <w:t>信託公司</w:t>
                            </w:r>
                          </w:p>
                          <w:p>
                            <w:pPr>
                              <w:pStyle w:val="Normal"/>
                              <w:spacing w:lineRule="exact" w:line="240"/>
                              <w:rPr>
                                <w:rFonts w:ascii="標楷體" w:hAnsi="標楷體" w:eastAsia="標楷體"/>
                                <w:sz w:val="22"/>
                                <w:szCs w:val="22"/>
                              </w:rPr>
                            </w:pPr>
                            <w:r>
                              <w:rPr>
                                <w:rFonts w:ascii="標楷體" w:hAnsi="標楷體" w:eastAsia="標楷體"/>
                                <w:sz w:val="22"/>
                                <w:szCs w:val="22"/>
                              </w:rPr>
                              <w:t>（即受託人，以下簡稱乙方）</w:t>
                            </w:r>
                          </w:p>
                        </w:txbxContent>
                      </v:textbox>
                    </v:rect>
                  </w:pict>
                </mc:Fallback>
              </mc:AlternateContent>
            </w:r>
          </w:p>
          <w:p>
            <w:pPr>
              <w:pStyle w:val="Normal"/>
              <w:tabs>
                <w:tab w:val="clear" w:pos="480"/>
                <w:tab w:val="left" w:pos="1992" w:leader="none"/>
              </w:tabs>
              <w:spacing w:lineRule="exact" w:line="500"/>
              <w:ind w:left="0" w:right="113" w:hanging="0"/>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 xml:space="preserve">立契約書人 </w:t>
            </w:r>
          </w:p>
          <w:p>
            <w:pPr>
              <w:pStyle w:val="Normal"/>
              <w:spacing w:lineRule="exact" w:line="500"/>
              <w:ind w:left="0" w:right="113" w:hanging="0"/>
              <w:jc w:val="distribute"/>
              <w:rPr>
                <w:rFonts w:ascii="標楷體" w:hAnsi="標楷體" w:eastAsia="標楷體"/>
                <w:sz w:val="28"/>
                <w:szCs w:val="28"/>
                <w:lang w:val="en-US"/>
              </w:rPr>
            </w:pPr>
            <w:r>
              <w:rPr>
                <w:rFonts w:ascii="標楷體" w:hAnsi="標楷體" w:eastAsia="標楷體"/>
                <w:sz w:val="28"/>
                <w:szCs w:val="28"/>
                <w:lang w:val="en-US"/>
              </w:rPr>
              <w:t xml:space="preserve">      </w:t>
            </w:r>
          </w:p>
          <w:p>
            <w:pPr>
              <w:pStyle w:val="Normal"/>
              <w:spacing w:lineRule="exact" w:line="500"/>
              <w:ind w:left="0" w:right="113" w:hanging="0"/>
              <w:jc w:val="distribute"/>
              <w:rPr>
                <w:rFonts w:ascii="標楷體" w:hAnsi="標楷體" w:eastAsia="標楷體"/>
                <w:sz w:val="28"/>
                <w:szCs w:val="28"/>
                <w:lang w:val="en-US"/>
              </w:rPr>
            </w:pPr>
            <w:r>
              <w:rPr>
                <w:rFonts w:eastAsia="標楷體" w:ascii="標楷體" w:hAnsi="標楷體"/>
                <w:sz w:val="28"/>
                <w:szCs w:val="28"/>
                <w:lang w:val="en-US"/>
              </w:rPr>
            </w:r>
          </w:p>
          <w:p>
            <w:pPr>
              <w:pStyle w:val="Normal"/>
              <w:spacing w:lineRule="exact" w:line="500"/>
              <w:ind w:left="0" w:right="113" w:hanging="0"/>
              <w:jc w:val="distribute"/>
              <w:rPr/>
            </w:pPr>
            <w:r>
              <w:rPr>
                <w:rFonts w:ascii="標楷體" w:hAnsi="標楷體" w:eastAsia="標楷體"/>
                <w:sz w:val="28"/>
                <w:szCs w:val="28"/>
                <w:lang w:val="en-US"/>
              </w:rPr>
              <w:t xml:space="preserve">    </w:t>
            </w:r>
            <w:r>
              <w:rPr>
                <w:rFonts w:ascii="標楷體" w:hAnsi="標楷體" w:eastAsia="標楷體"/>
                <w:b/>
                <w:bCs/>
                <w:sz w:val="28"/>
                <w:szCs w:val="28"/>
                <w:lang w:val="en-US"/>
              </w:rPr>
              <w:t>甲方為將其與消費者簽訂生前殯葬服務契約所預先收取費用，依法信託予乙方。經甲乙雙方合意訂立本生前殯葬服務契約預收費用信託契約（以下稱本契約），同意遵守條款如下：</w:t>
            </w:r>
          </w:p>
        </w:tc>
      </w:tr>
      <w:tr>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第一條（信託目的）</w:t>
            </w:r>
          </w:p>
          <w:p>
            <w:pPr>
              <w:pStyle w:val="Normal"/>
              <w:spacing w:lineRule="exact" w:line="500" w:before="180" w:after="0"/>
              <w:ind w:left="938" w:right="113" w:hanging="182"/>
              <w:jc w:val="distribute"/>
              <w:rPr/>
            </w:pPr>
            <w:r>
              <w:rPr>
                <w:rFonts w:ascii="標楷體" w:hAnsi="標楷體" w:eastAsia="標楷體"/>
                <w:sz w:val="28"/>
                <w:szCs w:val="28"/>
                <w:lang w:val="en-US"/>
              </w:rPr>
              <w:t xml:space="preserve"> </w:t>
            </w:r>
            <w:r>
              <w:rPr>
                <w:rFonts w:ascii="標楷體" w:hAnsi="標楷體" w:eastAsia="標楷體"/>
                <w:b/>
                <w:bCs/>
                <w:sz w:val="28"/>
                <w:szCs w:val="28"/>
                <w:lang w:val="en-US"/>
              </w:rPr>
              <w:t>本契約之信託係為達成甲方對與其簽訂生前殯葬服務契約之消費者（以下簡稱消費者）履行其應盡義務之目的，而由甲方將信託財產移轉交付乙方專款專用，並由乙方基於保護消費者之權益，依本契約約定，為信託財產之管理、運用或處分。</w:t>
            </w:r>
          </w:p>
        </w:tc>
      </w:tr>
      <w:tr>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第二條（信託財產之種類、名稱、數量、價額及交付方式）</w:t>
            </w:r>
          </w:p>
          <w:p>
            <w:pPr>
              <w:pStyle w:val="Normal"/>
              <w:spacing w:lineRule="exact" w:line="500" w:before="180" w:after="0"/>
              <w:ind w:left="936" w:right="113" w:hanging="0"/>
              <w:jc w:val="distribute"/>
              <w:rPr/>
            </w:pPr>
            <w:r>
              <w:rPr>
                <w:rFonts w:ascii="標楷體" w:hAnsi="標楷體" w:eastAsia="標楷體"/>
                <w:b/>
                <w:bCs/>
                <w:sz w:val="28"/>
                <w:szCs w:val="28"/>
                <w:lang w:val="en-US"/>
              </w:rPr>
              <w:t>本契約信託財產係指甲方依殯葬管理條例（以下稱本條例）第五十一條第一項規定，自九十二年七月一日起與消費者簽訂生前殯葬服務契約預收費用之百分之七十五，交付予乙方之金錢。</w:t>
            </w:r>
            <w:r>
              <w:rPr>
                <w:rFonts w:ascii="標楷體" w:hAnsi="標楷體" w:eastAsia="標楷體"/>
                <w:sz w:val="28"/>
                <w:szCs w:val="28"/>
                <w:lang w:val="en-US"/>
              </w:rPr>
              <w:t>甲方就其一次或分次收取之生前殯葬服務契約費用，應按月逐筆結算造冊，於次月底前將該信託清冊及費用交付予乙方。</w:t>
            </w:r>
          </w:p>
        </w:tc>
      </w:tr>
      <w:tr>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第三條（信託存續期間）</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本契約自訂定日起算，存續期間為○年。契約存續期間屆滿三個月前，甲方或乙方得以書面向他方表示信託契約屆滿後不再續約；若雙方均未於屆滿三個月前以書面向他方表示不再續約時，本契約自存續期間屆滿日起自動延長○年；其後存續期間再屆滿者亦同。</w:t>
            </w:r>
          </w:p>
        </w:tc>
      </w:tr>
      <w:tr>
        <w:trPr/>
        <w:tc>
          <w:tcPr>
            <w:tcW w:w="10207" w:type="dxa"/>
            <w:tcBorders/>
            <w:shd w:fill="auto" w:val="clear"/>
          </w:tcPr>
          <w:p>
            <w:pPr>
              <w:pStyle w:val="Normal"/>
              <w:spacing w:lineRule="exact" w:line="500" w:before="180" w:after="0"/>
              <w:ind w:left="70" w:right="113" w:hanging="70"/>
              <w:jc w:val="distribute"/>
              <w:rPr>
                <w:rFonts w:ascii="標楷體" w:hAnsi="標楷體" w:eastAsia="標楷體"/>
                <w:sz w:val="28"/>
                <w:szCs w:val="28"/>
                <w:lang w:val="en-US"/>
              </w:rPr>
            </w:pPr>
            <w:r>
              <w:rPr>
                <w:rFonts w:ascii="標楷體" w:hAnsi="標楷體" w:eastAsia="標楷體"/>
                <w:sz w:val="28"/>
                <w:szCs w:val="28"/>
                <w:lang w:val="en-US"/>
              </w:rPr>
              <w:t>第四條（委託人指定代理人）</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甲方得指定若干人員，就信託財產交付、提領等事項之執行，代表甲方。甲方應將指定之人員名單、授權書及有權簽章式樣送交乙方留存。</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甲方有關指定人員之變更、授權範圍之擴增或縮減，均應以書面通知乙方。於乙方收受甲方所為之變更通知前，甲方原指定之人員就授權範圍變更前所為之行為仍屬有效。</w:t>
            </w:r>
          </w:p>
        </w:tc>
      </w:tr>
      <w:tr>
        <w:trPr>
          <w:trHeight w:val="2500" w:hRule="atLeast"/>
        </w:trPr>
        <w:tc>
          <w:tcPr>
            <w:tcW w:w="10207" w:type="dxa"/>
            <w:tcBorders/>
            <w:shd w:fill="auto" w:val="clear"/>
          </w:tcPr>
          <w:p>
            <w:pPr>
              <w:pStyle w:val="Normal"/>
              <w:spacing w:lineRule="exact" w:line="500" w:before="180" w:after="0"/>
              <w:ind w:left="1" w:right="113" w:hanging="0"/>
              <w:jc w:val="distribute"/>
              <w:rPr>
                <w:rFonts w:ascii="標楷體" w:hAnsi="標楷體" w:eastAsia="標楷體"/>
                <w:sz w:val="28"/>
                <w:szCs w:val="28"/>
                <w:lang w:val="en-US"/>
              </w:rPr>
            </w:pPr>
            <w:r>
              <w:rPr>
                <w:rFonts w:ascii="標楷體" w:hAnsi="標楷體" w:eastAsia="標楷體"/>
                <w:sz w:val="28"/>
                <w:szCs w:val="28"/>
                <w:lang w:val="en-US"/>
              </w:rPr>
              <w:t>第五條（信託財產運用範圍）</w:t>
            </w:r>
          </w:p>
          <w:p>
            <w:pPr>
              <w:pStyle w:val="Normal"/>
              <w:spacing w:lineRule="exact" w:line="500" w:before="180" w:after="0"/>
              <w:ind w:left="0" w:right="113" w:hanging="0"/>
              <w:jc w:val="distribute"/>
              <w:rPr/>
            </w:pPr>
            <w:r>
              <w:rPr>
                <w:rFonts w:ascii="標楷體" w:hAnsi="標楷體" w:eastAsia="標楷體"/>
                <w:sz w:val="28"/>
                <w:szCs w:val="28"/>
                <w:lang w:val="en-US"/>
              </w:rPr>
              <w:t xml:space="preserve">       </w:t>
            </w:r>
            <w:r>
              <w:rPr>
                <w:rFonts w:ascii="標楷體" w:hAnsi="標楷體" w:eastAsia="標楷體"/>
                <w:b/>
                <w:bCs/>
                <w:sz w:val="28"/>
                <w:szCs w:val="28"/>
                <w:lang w:val="en-US"/>
              </w:rPr>
              <w:t>甲方交付乙方管理之費用，其運用範圍以下列各款為限：</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現金及銀行存款。</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政府債券、經中央銀行及行政院金融監督管理委員會核准之國際金融組織來臺發行之債券。</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以前款為標的之附買回交易。</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經內政部認定之一定等級以上信用評等之金融債券、公司債、短期票券、依金融資產證券化條例及不動產證券化條例發行之受益證券或資產基礎證券。</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貨幣市場共同信託基金、貨幣市場證券投資信託基金。</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債券型基金。</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前二款以外之其他共同信託基金或證券投資信託基金。</w:t>
            </w:r>
          </w:p>
          <w:p>
            <w:pPr>
              <w:pStyle w:val="Normal"/>
              <w:numPr>
                <w:ilvl w:val="2"/>
                <w:numId w:val="1"/>
              </w:numPr>
              <w:tabs>
                <w:tab w:val="clear" w:pos="480"/>
                <w:tab w:val="left" w:pos="1681" w:leader="none"/>
              </w:tabs>
              <w:spacing w:lineRule="exact" w:line="500" w:before="180" w:after="0"/>
              <w:ind w:left="1681" w:right="113" w:hanging="720"/>
              <w:jc w:val="distribute"/>
              <w:rPr/>
            </w:pPr>
            <w:r>
              <w:rPr>
                <w:rFonts w:ascii="標楷體" w:hAnsi="標楷體" w:eastAsia="標楷體"/>
                <w:color w:val="000000"/>
                <w:sz w:val="28"/>
                <w:szCs w:val="28"/>
                <w:lang w:val="en-US"/>
              </w:rPr>
              <w:t>依信託業法第十八條之一第二項所定信託業運用信託財產於外國有價證劵之範圍</w:t>
            </w:r>
            <w:r>
              <w:rPr>
                <w:rFonts w:ascii="標楷體" w:hAnsi="標楷體" w:eastAsia="標楷體"/>
                <w:sz w:val="28"/>
                <w:szCs w:val="28"/>
                <w:lang w:val="en-US"/>
              </w:rPr>
              <w:t>。</w:t>
            </w:r>
          </w:p>
          <w:p>
            <w:pPr>
              <w:pStyle w:val="Normal"/>
              <w:numPr>
                <w:ilvl w:val="2"/>
                <w:numId w:val="1"/>
              </w:numPr>
              <w:tabs>
                <w:tab w:val="clear" w:pos="480"/>
                <w:tab w:val="left" w:pos="1681" w:leader="none"/>
              </w:tabs>
              <w:spacing w:lineRule="exact" w:line="500" w:before="180" w:after="0"/>
              <w:ind w:left="1681" w:right="113" w:hanging="720"/>
              <w:jc w:val="distribute"/>
              <w:rPr>
                <w:rFonts w:ascii="標楷體" w:hAnsi="標楷體" w:eastAsia="標楷體"/>
                <w:sz w:val="28"/>
                <w:szCs w:val="28"/>
                <w:lang w:val="en-US"/>
              </w:rPr>
            </w:pPr>
            <w:r>
              <w:rPr>
                <w:rFonts w:ascii="標楷體" w:hAnsi="標楷體" w:eastAsia="標楷體"/>
                <w:sz w:val="28"/>
                <w:szCs w:val="28"/>
                <w:lang w:val="en-US"/>
              </w:rPr>
              <w:t>經核准設置之殯儀館、火化場需用之土地、營建及相關設施費用。</w:t>
            </w:r>
          </w:p>
          <w:p>
            <w:pPr>
              <w:pStyle w:val="Normal"/>
              <w:spacing w:lineRule="exact" w:line="500" w:before="180" w:after="0"/>
              <w:ind w:left="936" w:right="113" w:hanging="0"/>
              <w:jc w:val="distribute"/>
              <w:rPr/>
            </w:pPr>
            <w:r>
              <w:rPr>
                <w:rFonts w:ascii="標楷體" w:hAnsi="標楷體" w:eastAsia="標楷體"/>
                <w:sz w:val="28"/>
                <w:szCs w:val="28"/>
                <w:lang w:val="en-US"/>
              </w:rPr>
              <w:t>前項第七款至第九款合計之投資總額不得逾投資時信託財產價值之百分之三十；前項第九款之投資總額不得逾投資時信託財產當時價值之百分之二十五。</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第一項信託財產投資運用之範圍，應以法令所定非專業投資人得投資之範圍為限。</w:t>
            </w:r>
          </w:p>
        </w:tc>
      </w:tr>
      <w:tr>
        <w:trPr>
          <w:trHeight w:val="1961" w:hRule="atLeast"/>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 xml:space="preserve">第六條（信託財產管理及運用之應遵行事項）  </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乙方於一百零一年七月一日前受託之信託財產，得依原契約運用項目繼續運用。但如有變動應依前條約定辦理。</w:t>
            </w:r>
          </w:p>
          <w:p>
            <w:pPr>
              <w:pStyle w:val="Normal"/>
              <w:spacing w:lineRule="exact" w:line="500" w:before="180" w:after="0"/>
              <w:ind w:left="938" w:right="113" w:hanging="938"/>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信託財產運用於前條第一項第四款約定之金融商品時，乙方應提供商品信用評等資料予甲方；運用於前條第一項第九款約定之殯葬設施時，應依甲方報經直轄市、縣（市）主管機關備查支應之項目、比率及金額。</w:t>
            </w:r>
          </w:p>
          <w:p>
            <w:pPr>
              <w:pStyle w:val="Normal"/>
              <w:spacing w:lineRule="exact" w:line="500" w:before="180" w:after="0"/>
              <w:ind w:left="938" w:right="113" w:hanging="0"/>
              <w:jc w:val="distribute"/>
              <w:rPr>
                <w:rFonts w:ascii="標楷體" w:hAnsi="標楷體" w:eastAsia="標楷體"/>
                <w:sz w:val="28"/>
                <w:szCs w:val="28"/>
                <w:lang w:val="en-US"/>
              </w:rPr>
            </w:pPr>
            <w:r>
              <w:rPr>
                <w:rFonts w:ascii="標楷體" w:hAnsi="標楷體" w:eastAsia="標楷體"/>
                <w:sz w:val="28"/>
                <w:szCs w:val="28"/>
                <w:lang w:val="en-US"/>
              </w:rPr>
              <w:t>本信託財產運用投資所需開立或簽定之各項帳戶或契約，由乙方以「乙方受託○○信託財產專戶」之名義表彰之。</w:t>
            </w:r>
          </w:p>
          <w:p>
            <w:pPr>
              <w:pStyle w:val="Normal"/>
              <w:spacing w:lineRule="exact" w:line="500" w:before="180" w:after="0"/>
              <w:ind w:left="936" w:right="113" w:hanging="0"/>
              <w:jc w:val="distribute"/>
              <w:rPr/>
            </w:pPr>
            <w:r>
              <w:rPr>
                <w:rFonts w:ascii="標楷體" w:hAnsi="標楷體" w:eastAsia="標楷體"/>
                <w:sz w:val="28"/>
                <w:szCs w:val="28"/>
                <w:lang w:val="en-US"/>
              </w:rPr>
              <w:t>本契約信託財產之管理運用方法係（</w:t>
            </w:r>
            <w:r>
              <w:rPr>
                <w:rFonts w:ascii="標楷體" w:hAnsi="標楷體" w:cs="細明體" w:eastAsia="標楷體"/>
                <w:sz w:val="28"/>
                <w:szCs w:val="28"/>
                <w:lang w:val="en-US"/>
              </w:rPr>
              <w:t>單獨管理運用</w:t>
            </w:r>
            <w:r>
              <w:rPr>
                <w:rFonts w:eastAsia="標楷體" w:cs="細明體" w:ascii="標楷體" w:hAnsi="標楷體"/>
                <w:sz w:val="28"/>
                <w:szCs w:val="28"/>
                <w:lang w:val="en-US"/>
              </w:rPr>
              <w:t>/</w:t>
            </w:r>
            <w:r>
              <w:rPr>
                <w:rFonts w:ascii="標楷體" w:hAnsi="標楷體" w:cs="細明體" w:eastAsia="標楷體"/>
                <w:sz w:val="28"/>
                <w:szCs w:val="28"/>
                <w:lang w:val="en-US"/>
              </w:rPr>
              <w:t>集合管理運用</w:t>
            </w:r>
            <w:r>
              <w:rPr>
                <w:rFonts w:ascii="標楷體" w:hAnsi="標楷體" w:eastAsia="標楷體"/>
                <w:sz w:val="28"/>
                <w:szCs w:val="28"/>
                <w:lang w:val="en-US"/>
              </w:rPr>
              <w:t>），乙方</w:t>
            </w:r>
            <w:r>
              <w:rPr>
                <w:rFonts w:ascii="標楷體" w:hAnsi="標楷體" w:cs="細明體" w:eastAsia="標楷體"/>
                <w:sz w:val="28"/>
                <w:szCs w:val="28"/>
                <w:lang w:val="en-US"/>
              </w:rPr>
              <w:t>對信託財產（</w:t>
            </w:r>
            <w:r>
              <w:rPr>
                <w:rFonts w:ascii="標楷體" w:hAnsi="標楷體" w:eastAsia="標楷體"/>
                <w:sz w:val="28"/>
                <w:szCs w:val="28"/>
                <w:lang w:val="en-US"/>
              </w:rPr>
              <w:t>具有</w:t>
            </w:r>
            <w:r>
              <w:rPr>
                <w:rFonts w:eastAsia="標楷體" w:ascii="標楷體" w:hAnsi="標楷體"/>
                <w:sz w:val="28"/>
                <w:szCs w:val="28"/>
                <w:lang w:val="en-US"/>
              </w:rPr>
              <w:t>/</w:t>
            </w:r>
            <w:r>
              <w:rPr>
                <w:rFonts w:ascii="標楷體" w:hAnsi="標楷體" w:eastAsia="標楷體"/>
                <w:sz w:val="28"/>
                <w:szCs w:val="28"/>
                <w:lang w:val="en-US"/>
              </w:rPr>
              <w:t>不具有</w:t>
            </w:r>
            <w:r>
              <w:rPr>
                <w:rFonts w:ascii="標楷體" w:hAnsi="標楷體" w:cs="細明體" w:eastAsia="標楷體"/>
                <w:sz w:val="28"/>
                <w:szCs w:val="28"/>
                <w:lang w:val="en-US"/>
              </w:rPr>
              <w:t>）運用</w:t>
            </w:r>
            <w:r>
              <w:rPr>
                <w:rFonts w:ascii="標楷體" w:hAnsi="標楷體" w:eastAsia="標楷體"/>
                <w:sz w:val="28"/>
                <w:szCs w:val="28"/>
                <w:lang w:val="en-US"/>
              </w:rPr>
              <w:t>決定權。</w:t>
            </w:r>
          </w:p>
        </w:tc>
      </w:tr>
      <w:tr>
        <w:trPr/>
        <w:tc>
          <w:tcPr>
            <w:tcW w:w="10207" w:type="dxa"/>
            <w:tcBorders/>
            <w:shd w:fill="auto" w:val="clear"/>
          </w:tcPr>
          <w:p>
            <w:pPr>
              <w:pStyle w:val="Normal"/>
              <w:spacing w:lineRule="exact" w:line="500" w:before="180" w:after="0"/>
              <w:ind w:left="1" w:right="113" w:hanging="0"/>
              <w:jc w:val="distribute"/>
              <w:rPr>
                <w:rFonts w:ascii="標楷體" w:hAnsi="標楷體" w:eastAsia="標楷體"/>
                <w:sz w:val="28"/>
                <w:szCs w:val="28"/>
                <w:lang w:val="en-US"/>
              </w:rPr>
            </w:pPr>
            <w:r>
              <w:rPr>
                <w:rFonts w:ascii="標楷體" w:hAnsi="標楷體" w:eastAsia="標楷體"/>
                <w:sz w:val="28"/>
                <w:szCs w:val="28"/>
                <w:lang w:val="en-US"/>
              </w:rPr>
              <w:t>第七條（信託財產損益處理）</w:t>
            </w:r>
          </w:p>
          <w:p>
            <w:pPr>
              <w:pStyle w:val="Normal"/>
              <w:spacing w:lineRule="exact" w:line="500" w:before="180" w:after="0"/>
              <w:ind w:left="938" w:right="113" w:hanging="938"/>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乙方應於每年十二月三十一日結算信託財產一次，結算後乙方應即以書面通知甲方結果，未達預先收取費用之百分之七十五者，甲方應於接獲通知後○個營業日（最長不得逾十日）內以現金補足其差額；已逾預先收取費用之百分之七十五者，甲方得向乙方領回已實現之收益。</w:t>
            </w:r>
          </w:p>
          <w:p>
            <w:pPr>
              <w:pStyle w:val="Normal"/>
              <w:spacing w:lineRule="exact" w:line="500" w:before="180" w:after="0"/>
              <w:ind w:left="938" w:right="113" w:hanging="182"/>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乙方應於次年一月三十一日前將結算報告送甲方所在地直轄市、縣（市）主管機關。</w:t>
            </w:r>
          </w:p>
          <w:p>
            <w:pPr>
              <w:pStyle w:val="Normal"/>
              <w:spacing w:lineRule="exact" w:line="500" w:before="180" w:after="0"/>
              <w:ind w:left="938" w:right="113" w:hanging="182"/>
              <w:jc w:val="distribute"/>
              <w:rPr>
                <w:rFonts w:ascii="標楷體" w:hAnsi="標楷體" w:eastAsia="標楷體"/>
                <w:sz w:val="28"/>
                <w:szCs w:val="28"/>
                <w:lang w:val="en-US"/>
              </w:rPr>
            </w:pPr>
            <w:r>
              <w:rPr>
                <w:rFonts w:eastAsia="標楷體" w:ascii="標楷體" w:hAnsi="標楷體"/>
                <w:sz w:val="28"/>
                <w:szCs w:val="28"/>
                <w:lang w:val="en-US"/>
              </w:rPr>
            </w:r>
          </w:p>
        </w:tc>
      </w:tr>
      <w:tr>
        <w:trPr/>
        <w:tc>
          <w:tcPr>
            <w:tcW w:w="10207" w:type="dxa"/>
            <w:tcBorders/>
            <w:shd w:fill="auto" w:val="clear"/>
          </w:tcPr>
          <w:p>
            <w:pPr>
              <w:pStyle w:val="Normal"/>
              <w:spacing w:lineRule="exact" w:line="500" w:before="180" w:after="0"/>
              <w:ind w:left="-108" w:right="113" w:firstLine="106"/>
              <w:jc w:val="distribute"/>
              <w:rPr>
                <w:rFonts w:ascii="標楷體" w:hAnsi="標楷體" w:eastAsia="標楷體"/>
                <w:sz w:val="28"/>
                <w:szCs w:val="28"/>
                <w:lang w:val="en-US"/>
              </w:rPr>
            </w:pPr>
            <w:r>
              <w:rPr>
                <w:rFonts w:ascii="標楷體" w:hAnsi="標楷體" w:eastAsia="標楷體"/>
                <w:sz w:val="28"/>
                <w:szCs w:val="28"/>
                <w:lang w:val="en-US"/>
              </w:rPr>
              <w:t>第八條（信託財產之提領）</w:t>
            </w:r>
          </w:p>
          <w:p>
            <w:pPr>
              <w:pStyle w:val="Normal"/>
              <w:spacing w:lineRule="exact" w:line="500" w:before="180" w:after="0"/>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本契約之信託財產，甲方僅限於下列情形始得提領：</w:t>
            </w:r>
          </w:p>
          <w:p>
            <w:pPr>
              <w:pStyle w:val="Normal"/>
              <w:spacing w:lineRule="exact" w:line="500" w:before="180" w:after="0"/>
              <w:ind w:left="938" w:right="0" w:hanging="0"/>
              <w:jc w:val="distribute"/>
              <w:rPr>
                <w:rFonts w:ascii="標楷體" w:hAnsi="標楷體" w:eastAsia="標楷體"/>
                <w:sz w:val="28"/>
                <w:szCs w:val="28"/>
                <w:lang w:val="en-US"/>
              </w:rPr>
            </w:pPr>
            <w:r>
              <w:rPr>
                <w:rFonts w:ascii="標楷體" w:hAnsi="標楷體" w:eastAsia="標楷體"/>
                <w:sz w:val="28"/>
                <w:szCs w:val="28"/>
                <w:lang w:val="en-US"/>
              </w:rPr>
              <w:t>一、生前殯葬服務契約履行完畢。</w:t>
            </w:r>
          </w:p>
          <w:p>
            <w:pPr>
              <w:pStyle w:val="Normal"/>
              <w:spacing w:lineRule="exact" w:line="500" w:before="180" w:after="0"/>
              <w:ind w:left="938" w:right="0" w:hanging="0"/>
              <w:jc w:val="distribute"/>
              <w:rPr>
                <w:rFonts w:ascii="標楷體" w:hAnsi="標楷體" w:eastAsia="標楷體"/>
                <w:sz w:val="28"/>
                <w:szCs w:val="28"/>
                <w:lang w:val="en-US"/>
              </w:rPr>
            </w:pPr>
            <w:r>
              <w:rPr>
                <w:rFonts w:ascii="標楷體" w:hAnsi="標楷體" w:eastAsia="標楷體"/>
                <w:sz w:val="28"/>
                <w:szCs w:val="28"/>
                <w:lang w:val="en-US"/>
              </w:rPr>
              <w:t>二、生前殯葬服務契約解除或終止。</w:t>
            </w:r>
          </w:p>
          <w:p>
            <w:pPr>
              <w:pStyle w:val="Normal"/>
              <w:spacing w:lineRule="exact" w:line="500" w:before="180" w:after="0"/>
              <w:ind w:left="938" w:right="0" w:hanging="0"/>
              <w:jc w:val="distribute"/>
              <w:rPr>
                <w:rFonts w:ascii="標楷體" w:hAnsi="標楷體" w:eastAsia="標楷體"/>
                <w:sz w:val="28"/>
                <w:szCs w:val="28"/>
                <w:lang w:val="en-US"/>
              </w:rPr>
            </w:pPr>
            <w:r>
              <w:rPr>
                <w:rFonts w:ascii="標楷體" w:hAnsi="標楷體" w:eastAsia="標楷體"/>
                <w:sz w:val="28"/>
                <w:szCs w:val="28"/>
                <w:lang w:val="en-US"/>
              </w:rPr>
              <w:t>三、依前條第一項規定得領回之情形。</w:t>
            </w:r>
          </w:p>
          <w:p>
            <w:pPr>
              <w:pStyle w:val="Normal"/>
              <w:spacing w:lineRule="exact" w:line="500" w:before="180" w:after="0"/>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甲方依前項第一款及第二款規定於提領信託財產時，應檢送下列文件：</w:t>
            </w:r>
          </w:p>
          <w:p>
            <w:pPr>
              <w:pStyle w:val="Normal"/>
              <w:spacing w:lineRule="exact" w:line="500" w:before="180" w:after="0"/>
              <w:ind w:left="938" w:right="0" w:hanging="0"/>
              <w:jc w:val="distribute"/>
              <w:rPr>
                <w:rFonts w:ascii="標楷體" w:hAnsi="標楷體" w:eastAsia="標楷體"/>
                <w:sz w:val="28"/>
                <w:szCs w:val="28"/>
                <w:lang w:val="en-US"/>
              </w:rPr>
            </w:pPr>
            <w:r>
              <w:rPr>
                <w:rFonts w:ascii="標楷體" w:hAnsi="標楷體" w:eastAsia="標楷體"/>
                <w:sz w:val="28"/>
                <w:szCs w:val="28"/>
                <w:lang w:val="en-US"/>
              </w:rPr>
              <w:t>一、生前殯葬服務契約履行、解除或終止之清冊。</w:t>
            </w:r>
          </w:p>
          <w:p>
            <w:pPr>
              <w:pStyle w:val="Normal"/>
              <w:spacing w:lineRule="exact" w:line="500" w:before="180" w:after="0"/>
              <w:ind w:left="938" w:right="0" w:hanging="0"/>
              <w:jc w:val="distribute"/>
              <w:rPr>
                <w:rFonts w:ascii="標楷體" w:hAnsi="標楷體" w:eastAsia="標楷體"/>
                <w:sz w:val="28"/>
                <w:szCs w:val="28"/>
                <w:lang w:val="en-US"/>
              </w:rPr>
            </w:pPr>
            <w:r>
              <w:rPr>
                <w:rFonts w:ascii="標楷體" w:hAnsi="標楷體" w:eastAsia="標楷體"/>
                <w:sz w:val="28"/>
                <w:szCs w:val="28"/>
                <w:lang w:val="en-US"/>
              </w:rPr>
              <w:t>二、配合前款情形應附之證明文件。</w:t>
            </w:r>
          </w:p>
        </w:tc>
      </w:tr>
      <w:tr>
        <w:trPr/>
        <w:tc>
          <w:tcPr>
            <w:tcW w:w="10207" w:type="dxa"/>
            <w:tcBorders/>
            <w:shd w:fill="auto" w:val="clear"/>
          </w:tcPr>
          <w:p>
            <w:pPr>
              <w:pStyle w:val="Normal"/>
              <w:spacing w:lineRule="exact" w:line="500" w:before="180" w:after="0"/>
              <w:ind w:left="1" w:right="113" w:hanging="0"/>
              <w:jc w:val="distribute"/>
              <w:rPr>
                <w:rFonts w:ascii="標楷體" w:hAnsi="標楷體" w:eastAsia="標楷體"/>
                <w:sz w:val="28"/>
                <w:szCs w:val="28"/>
                <w:lang w:val="en-US"/>
              </w:rPr>
            </w:pPr>
            <w:r>
              <w:rPr>
                <w:rFonts w:ascii="標楷體" w:hAnsi="標楷體" w:eastAsia="標楷體"/>
                <w:sz w:val="28"/>
                <w:szCs w:val="28"/>
                <w:lang w:val="en-US"/>
              </w:rPr>
              <w:t>第九條（信託財產報表之製作及查詢）</w:t>
            </w:r>
          </w:p>
          <w:p>
            <w:pPr>
              <w:pStyle w:val="Normal"/>
              <w:spacing w:lineRule="exact" w:line="500" w:before="180" w:after="0"/>
              <w:ind w:left="0" w:right="113" w:firstLine="216"/>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乙方應針對信託財產目錄及收支計算表編製月報表。</w:t>
            </w:r>
          </w:p>
          <w:p>
            <w:pPr>
              <w:pStyle w:val="Normal"/>
              <w:spacing w:lineRule="exact" w:line="500" w:before="180" w:after="0"/>
              <w:ind w:left="0" w:right="113" w:firstLine="216"/>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月報表應於每月終了後十個營業日內送達甲方。</w:t>
            </w:r>
          </w:p>
          <w:p>
            <w:pPr>
              <w:pStyle w:val="Normal"/>
              <w:tabs>
                <w:tab w:val="clear" w:pos="480"/>
                <w:tab w:val="left" w:pos="938" w:leader="none"/>
              </w:tabs>
              <w:spacing w:lineRule="exact" w:line="500" w:before="180" w:after="0"/>
              <w:ind w:left="1116" w:right="113" w:hanging="720"/>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甲方應以網路或其他方式提供消費者，查詢其所簽訂生前殯葬服務契約預繳費用交付信託情形；且乙方應提供必要之資訊及協助，以利甲方辦理前述查詢事宜。</w:t>
            </w:r>
          </w:p>
        </w:tc>
      </w:tr>
      <w:tr>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第十條（契約之變更）</w:t>
            </w:r>
          </w:p>
          <w:p>
            <w:pPr>
              <w:pStyle w:val="Normal"/>
              <w:spacing w:lineRule="exact" w:line="500" w:before="180" w:after="0"/>
              <w:ind w:left="936" w:right="113" w:hanging="0"/>
              <w:jc w:val="distribute"/>
              <w:rPr/>
            </w:pPr>
            <w:r>
              <w:rPr>
                <w:rFonts w:ascii="標楷體" w:hAnsi="標楷體" w:eastAsia="標楷體"/>
                <w:b/>
                <w:bCs/>
                <w:sz w:val="28"/>
                <w:szCs w:val="28"/>
                <w:lang w:val="en-US"/>
              </w:rPr>
              <w:t>本契約之內容在不違反相關法令及</w:t>
            </w:r>
            <w:r>
              <w:rPr>
                <w:rFonts w:ascii="標楷體" w:hAnsi="標楷體" w:eastAsia="標楷體"/>
                <w:b/>
                <w:bCs/>
                <w:spacing w:val="-20"/>
                <w:sz w:val="28"/>
                <w:szCs w:val="28"/>
                <w:lang w:val="en-US"/>
              </w:rPr>
              <w:t>中華民國信託業商業同業公會會員辦理預收款 信託業務應行注意事項</w:t>
            </w:r>
            <w:r>
              <w:rPr>
                <w:rFonts w:ascii="標楷體" w:hAnsi="標楷體" w:eastAsia="標楷體"/>
                <w:b/>
                <w:bCs/>
                <w:sz w:val="28"/>
                <w:szCs w:val="28"/>
                <w:lang w:val="en-US"/>
              </w:rPr>
              <w:t xml:space="preserve">之前提下，得經甲乙雙方同意後以書面變更之。     </w:t>
            </w:r>
          </w:p>
          <w:p>
            <w:pPr>
              <w:pStyle w:val="Normal"/>
              <w:spacing w:lineRule="exact" w:line="500" w:before="180" w:after="0"/>
              <w:ind w:left="0" w:right="113" w:firstLine="538"/>
              <w:jc w:val="distribute"/>
              <w:rPr>
                <w:rFonts w:ascii="標楷體" w:hAnsi="標楷體" w:eastAsia="標楷體"/>
                <w:b/>
                <w:bCs/>
                <w:sz w:val="28"/>
                <w:szCs w:val="28"/>
                <w:lang w:val="en-US"/>
              </w:rPr>
            </w:pPr>
            <w:r>
              <w:rPr>
                <w:rFonts w:ascii="標楷體" w:hAnsi="標楷體" w:eastAsia="標楷體"/>
                <w:bCs/>
                <w:sz w:val="28"/>
                <w:szCs w:val="28"/>
                <w:lang w:val="en-US"/>
              </w:rPr>
              <w:t xml:space="preserve">   </w:t>
            </w:r>
            <w:r>
              <w:rPr>
                <w:rFonts w:ascii="標楷體" w:hAnsi="標楷體" w:eastAsia="標楷體"/>
                <w:b/>
                <w:bCs/>
                <w:sz w:val="28"/>
                <w:szCs w:val="28"/>
                <w:lang w:val="en-US"/>
              </w:rPr>
              <w:t>甲方於契約變更後，應主動於網站公開契約變更之內容。</w:t>
            </w:r>
          </w:p>
          <w:p>
            <w:pPr>
              <w:pStyle w:val="Normal"/>
              <w:spacing w:lineRule="exact" w:line="500" w:before="180" w:after="0"/>
              <w:ind w:left="0" w:right="113" w:firstLine="538"/>
              <w:jc w:val="distribute"/>
              <w:rPr>
                <w:rFonts w:ascii="標楷體" w:hAnsi="標楷體" w:eastAsia="標楷體"/>
                <w:b/>
                <w:bCs/>
                <w:sz w:val="28"/>
                <w:szCs w:val="28"/>
                <w:lang w:val="en-US"/>
              </w:rPr>
            </w:pPr>
            <w:r>
              <w:rPr>
                <w:rFonts w:eastAsia="標楷體" w:ascii="標楷體" w:hAnsi="標楷體"/>
                <w:bCs/>
                <w:sz w:val="28"/>
                <w:szCs w:val="28"/>
                <w:lang w:val="en-US"/>
              </w:rPr>
            </w:r>
          </w:p>
          <w:p>
            <w:pPr>
              <w:pStyle w:val="Normal"/>
              <w:spacing w:lineRule="exact" w:line="500" w:before="180" w:after="0"/>
              <w:ind w:left="0" w:right="113" w:firstLine="538"/>
              <w:jc w:val="distribute"/>
              <w:rPr>
                <w:rFonts w:ascii="標楷體" w:hAnsi="標楷體" w:eastAsia="標楷體"/>
                <w:b/>
                <w:bCs/>
                <w:sz w:val="28"/>
                <w:szCs w:val="28"/>
                <w:lang w:val="en-US"/>
              </w:rPr>
            </w:pPr>
            <w:r>
              <w:rPr>
                <w:rFonts w:eastAsia="標楷體" w:ascii="標楷體" w:hAnsi="標楷體"/>
                <w:bCs/>
                <w:sz w:val="28"/>
                <w:szCs w:val="28"/>
                <w:lang w:val="en-US"/>
              </w:rPr>
            </w:r>
          </w:p>
        </w:tc>
      </w:tr>
      <w:tr>
        <w:trPr/>
        <w:tc>
          <w:tcPr>
            <w:tcW w:w="10207" w:type="dxa"/>
            <w:tcBorders/>
            <w:shd w:fill="auto" w:val="clear"/>
          </w:tcPr>
          <w:p>
            <w:pPr>
              <w:pStyle w:val="Normal"/>
              <w:spacing w:lineRule="exact" w:line="500" w:before="180" w:after="0"/>
              <w:ind w:left="70" w:right="113" w:hanging="70"/>
              <w:jc w:val="distribute"/>
              <w:rPr>
                <w:rFonts w:ascii="標楷體" w:hAnsi="標楷體" w:eastAsia="標楷體"/>
                <w:sz w:val="28"/>
                <w:szCs w:val="28"/>
                <w:lang w:val="en-US"/>
              </w:rPr>
            </w:pPr>
            <w:r>
              <w:rPr>
                <w:rFonts w:ascii="標楷體" w:hAnsi="標楷體" w:eastAsia="標楷體"/>
                <w:sz w:val="28"/>
                <w:szCs w:val="28"/>
                <w:lang w:val="en-US"/>
              </w:rPr>
              <w:t>第十一條（契約之終止事由）</w:t>
            </w:r>
          </w:p>
          <w:p>
            <w:pPr>
              <w:pStyle w:val="Normal"/>
              <w:spacing w:lineRule="exact" w:line="500" w:before="180" w:after="0"/>
              <w:ind w:left="0" w:right="0" w:firstLine="360"/>
              <w:jc w:val="distribute"/>
              <w:rPr/>
            </w:pPr>
            <w:r>
              <w:rPr>
                <w:rFonts w:ascii="標楷體" w:hAnsi="標楷體" w:eastAsia="標楷體"/>
                <w:lang w:val="en-US"/>
              </w:rPr>
              <w:t xml:space="preserve">    </w:t>
            </w:r>
            <w:r>
              <w:rPr>
                <w:rFonts w:ascii="標楷體" w:hAnsi="標楷體" w:eastAsia="標楷體"/>
                <w:sz w:val="28"/>
                <w:szCs w:val="28"/>
                <w:lang w:val="en-US"/>
              </w:rPr>
              <w:t>本契約於下列任一情事發生時自動終止：</w:t>
            </w:r>
          </w:p>
          <w:p>
            <w:pPr>
              <w:pStyle w:val="Normal"/>
              <w:numPr>
                <w:ilvl w:val="0"/>
                <w:numId w:val="5"/>
              </w:numPr>
              <w:tabs>
                <w:tab w:val="clear" w:pos="480"/>
                <w:tab w:val="left" w:pos="1560" w:leader="none"/>
              </w:tabs>
              <w:spacing w:lineRule="exact" w:line="500" w:before="180" w:after="0"/>
              <w:ind w:left="1560" w:hanging="720"/>
              <w:jc w:val="distribute"/>
              <w:rPr>
                <w:rFonts w:ascii="標楷體" w:hAnsi="標楷體" w:eastAsia="標楷體"/>
                <w:sz w:val="28"/>
                <w:szCs w:val="28"/>
                <w:lang w:val="en-US"/>
              </w:rPr>
            </w:pPr>
            <w:r>
              <w:rPr>
                <w:rFonts w:ascii="標楷體" w:hAnsi="標楷體" w:eastAsia="標楷體"/>
                <w:sz w:val="28"/>
                <w:szCs w:val="28"/>
                <w:lang w:val="en-US"/>
              </w:rPr>
              <w:t>契約存續期間屆滿且不再續約。</w:t>
            </w:r>
          </w:p>
          <w:p>
            <w:pPr>
              <w:pStyle w:val="Normal"/>
              <w:numPr>
                <w:ilvl w:val="0"/>
                <w:numId w:val="5"/>
              </w:numPr>
              <w:tabs>
                <w:tab w:val="clear" w:pos="480"/>
                <w:tab w:val="left" w:pos="1560" w:leader="none"/>
              </w:tabs>
              <w:spacing w:lineRule="exact" w:line="500" w:before="180" w:after="0"/>
              <w:ind w:left="1560" w:hanging="720"/>
              <w:jc w:val="distribute"/>
              <w:rPr>
                <w:rFonts w:ascii="標楷體" w:hAnsi="標楷體" w:eastAsia="標楷體"/>
                <w:sz w:val="28"/>
                <w:szCs w:val="28"/>
                <w:lang w:val="en-US"/>
              </w:rPr>
            </w:pPr>
            <w:r>
              <w:rPr>
                <w:rFonts w:ascii="標楷體" w:hAnsi="標楷體" w:eastAsia="標楷體"/>
                <w:sz w:val="28"/>
                <w:szCs w:val="28"/>
                <w:lang w:val="en-US"/>
              </w:rPr>
              <w:t>甲方破產。</w:t>
            </w:r>
          </w:p>
          <w:p>
            <w:pPr>
              <w:pStyle w:val="Normal"/>
              <w:numPr>
                <w:ilvl w:val="0"/>
                <w:numId w:val="5"/>
              </w:numPr>
              <w:tabs>
                <w:tab w:val="clear" w:pos="480"/>
                <w:tab w:val="left" w:pos="1560" w:leader="none"/>
              </w:tabs>
              <w:spacing w:lineRule="exact" w:line="500" w:before="180" w:after="0"/>
              <w:ind w:left="1560" w:hanging="720"/>
              <w:jc w:val="distribute"/>
              <w:rPr>
                <w:rFonts w:ascii="標楷體" w:hAnsi="標楷體" w:eastAsia="標楷體"/>
                <w:sz w:val="28"/>
                <w:szCs w:val="28"/>
                <w:lang w:val="en-US"/>
              </w:rPr>
            </w:pPr>
            <w:r>
              <w:rPr>
                <w:rFonts w:ascii="標楷體" w:hAnsi="標楷體" w:eastAsia="標楷體"/>
                <w:sz w:val="28"/>
                <w:szCs w:val="28"/>
                <w:lang w:val="en-US"/>
              </w:rPr>
              <w:t>甲方依法解散，或經直轄市、縣（市）主管機關廢止其許可。</w:t>
            </w:r>
          </w:p>
          <w:p>
            <w:pPr>
              <w:pStyle w:val="Normal"/>
              <w:numPr>
                <w:ilvl w:val="0"/>
                <w:numId w:val="5"/>
              </w:numPr>
              <w:tabs>
                <w:tab w:val="clear" w:pos="480"/>
                <w:tab w:val="left" w:pos="1560" w:leader="none"/>
              </w:tabs>
              <w:spacing w:lineRule="exact" w:line="500" w:before="180" w:after="0"/>
              <w:ind w:left="1560" w:hanging="720"/>
              <w:jc w:val="distribute"/>
              <w:rPr>
                <w:rFonts w:ascii="標楷體" w:hAnsi="標楷體" w:eastAsia="標楷體"/>
                <w:sz w:val="28"/>
                <w:szCs w:val="28"/>
                <w:lang w:val="en-US"/>
              </w:rPr>
            </w:pPr>
            <w:r>
              <w:rPr>
                <w:rFonts w:ascii="標楷體" w:hAnsi="標楷體" w:eastAsia="標楷體"/>
                <w:sz w:val="28"/>
                <w:szCs w:val="28"/>
                <w:lang w:val="en-US"/>
              </w:rPr>
              <w:t>甲方自行停止營業連續六個月以上，或經直轄市、縣（市）主管機關勒            令停業逾六個月以上。</w:t>
            </w:r>
          </w:p>
          <w:p>
            <w:pPr>
              <w:pStyle w:val="Normal"/>
              <w:numPr>
                <w:ilvl w:val="0"/>
                <w:numId w:val="5"/>
              </w:numPr>
              <w:tabs>
                <w:tab w:val="clear" w:pos="480"/>
                <w:tab w:val="left" w:pos="1560" w:leader="none"/>
              </w:tabs>
              <w:spacing w:lineRule="exact" w:line="500" w:before="180" w:after="0"/>
              <w:ind w:left="1560" w:hanging="720"/>
              <w:jc w:val="distribute"/>
              <w:rPr>
                <w:rFonts w:ascii="標楷體" w:hAnsi="標楷體" w:eastAsia="標楷體"/>
                <w:sz w:val="28"/>
                <w:szCs w:val="28"/>
                <w:lang w:val="en-US"/>
              </w:rPr>
            </w:pPr>
            <w:r>
              <w:rPr>
                <w:rFonts w:ascii="標楷體" w:hAnsi="標楷體" w:eastAsia="標楷體"/>
                <w:sz w:val="28"/>
                <w:szCs w:val="28"/>
                <w:lang w:val="en-US"/>
              </w:rPr>
              <w:t>甲方經向直轄市、縣（市）主管機關申請停業期滿後，逾三個月未申請復業。</w:t>
            </w:r>
          </w:p>
          <w:p>
            <w:pPr>
              <w:pStyle w:val="Normal"/>
              <w:numPr>
                <w:ilvl w:val="0"/>
                <w:numId w:val="5"/>
              </w:numPr>
              <w:tabs>
                <w:tab w:val="clear" w:pos="480"/>
                <w:tab w:val="left" w:pos="1560" w:leader="none"/>
              </w:tabs>
              <w:spacing w:lineRule="exact" w:line="500" w:before="180" w:after="0"/>
              <w:ind w:left="1560" w:hanging="720"/>
              <w:jc w:val="distribute"/>
              <w:rPr>
                <w:rFonts w:ascii="標楷體" w:hAnsi="標楷體" w:eastAsia="標楷體"/>
                <w:sz w:val="28"/>
                <w:szCs w:val="28"/>
                <w:lang w:val="en-US"/>
              </w:rPr>
            </w:pPr>
            <w:r>
              <w:rPr>
                <w:rFonts w:ascii="標楷體" w:hAnsi="標楷體" w:eastAsia="標楷體"/>
                <w:sz w:val="28"/>
                <w:szCs w:val="28"/>
                <w:lang w:val="en-US"/>
              </w:rPr>
              <w:t>甲方讓與全部或主要部分之營業或財產而乙方不同意繼續擔任受託人。</w:t>
            </w:r>
          </w:p>
          <w:p>
            <w:pPr>
              <w:pStyle w:val="Normal"/>
              <w:spacing w:lineRule="exact" w:line="500" w:before="180" w:after="0"/>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本契約得於下列任一情事發生而提前終止：</w:t>
            </w:r>
          </w:p>
          <w:p>
            <w:pPr>
              <w:pStyle w:val="Normal"/>
              <w:spacing w:lineRule="exact" w:line="500" w:before="180" w:after="0"/>
              <w:ind w:left="938" w:right="0" w:hanging="0"/>
              <w:jc w:val="distribute"/>
              <w:rPr>
                <w:rFonts w:ascii="標楷體" w:hAnsi="標楷體" w:eastAsia="標楷體"/>
                <w:sz w:val="28"/>
                <w:szCs w:val="28"/>
                <w:lang w:val="en-US"/>
              </w:rPr>
            </w:pPr>
            <w:r>
              <w:rPr>
                <w:rFonts w:ascii="標楷體" w:hAnsi="標楷體" w:eastAsia="標楷體"/>
                <w:sz w:val="28"/>
                <w:szCs w:val="28"/>
                <w:lang w:val="en-US"/>
              </w:rPr>
              <w:t>一、甲乙雙方因故合意終止本契約，且甲方已指定新受託人。</w:t>
            </w:r>
          </w:p>
          <w:p>
            <w:pPr>
              <w:pStyle w:val="Normal"/>
              <w:spacing w:lineRule="exact" w:line="500" w:before="180" w:after="0"/>
              <w:ind w:left="1476" w:right="0" w:hanging="538"/>
              <w:jc w:val="distribute"/>
              <w:rPr/>
            </w:pPr>
            <w:r>
              <w:rPr>
                <w:rFonts w:ascii="標楷體" w:hAnsi="標楷體" w:eastAsia="標楷體"/>
                <w:sz w:val="28"/>
                <w:szCs w:val="28"/>
                <w:lang w:val="en-US"/>
              </w:rPr>
              <w:t>二、因法令修正、不可抗力或其他不可歸責於乙方之事由，致本信託執行上或信託財產之管理、運用或處分上有實際或明顯困難時，乙方得於○</w:t>
            </w:r>
            <w:r>
              <w:rPr>
                <w:rFonts w:eastAsia="標楷體"/>
                <w:sz w:val="28"/>
                <w:szCs w:val="28"/>
                <w:lang w:val="en-US"/>
              </w:rPr>
              <w:t>日前以書面通知甲方終止本契約</w:t>
            </w:r>
            <w:r>
              <w:rPr>
                <w:rFonts w:ascii="標楷體" w:hAnsi="標楷體" w:eastAsia="標楷體"/>
                <w:sz w:val="28"/>
                <w:szCs w:val="28"/>
                <w:lang w:val="en-US"/>
              </w:rPr>
              <w:t>。</w:t>
            </w:r>
          </w:p>
          <w:p>
            <w:pPr>
              <w:pStyle w:val="Normal"/>
              <w:spacing w:lineRule="exact" w:line="500" w:before="180" w:after="0"/>
              <w:ind w:left="480" w:right="0" w:firstLine="456"/>
              <w:jc w:val="distribute"/>
              <w:rPr>
                <w:rFonts w:ascii="標楷體" w:hAnsi="標楷體" w:eastAsia="標楷體"/>
                <w:sz w:val="28"/>
                <w:szCs w:val="28"/>
                <w:lang w:val="en-US"/>
              </w:rPr>
            </w:pPr>
            <w:r>
              <w:rPr>
                <w:rFonts w:ascii="標楷體" w:hAnsi="標楷體" w:eastAsia="標楷體"/>
                <w:sz w:val="28"/>
                <w:szCs w:val="28"/>
                <w:lang w:val="en-US"/>
              </w:rPr>
              <w:t>三、乙方違反本契約規定，致信託財產價值減損百分之○。</w:t>
            </w:r>
          </w:p>
          <w:p>
            <w:pPr>
              <w:pStyle w:val="Normal"/>
              <w:spacing w:lineRule="exact" w:line="500" w:before="180" w:after="0"/>
              <w:ind w:left="480" w:right="0" w:firstLine="456"/>
              <w:jc w:val="distribute"/>
              <w:rPr>
                <w:rFonts w:ascii="標楷體" w:hAnsi="標楷體" w:eastAsia="標楷體"/>
                <w:sz w:val="28"/>
                <w:szCs w:val="28"/>
                <w:lang w:val="en-US"/>
              </w:rPr>
            </w:pPr>
            <w:r>
              <w:rPr>
                <w:rFonts w:ascii="標楷體" w:hAnsi="標楷體" w:eastAsia="標楷體"/>
                <w:sz w:val="28"/>
                <w:szCs w:val="28"/>
                <w:lang w:val="en-US"/>
              </w:rPr>
              <w:t>四、方積欠乙方信託管理費達○○元。</w:t>
            </w:r>
          </w:p>
          <w:p>
            <w:pPr>
              <w:pStyle w:val="Normal"/>
              <w:spacing w:lineRule="exact" w:line="500" w:before="180" w:after="0"/>
              <w:ind w:left="480" w:right="0" w:firstLine="456"/>
              <w:jc w:val="distribute"/>
              <w:rPr>
                <w:rFonts w:ascii="標楷體" w:hAnsi="標楷體" w:eastAsia="標楷體"/>
                <w:sz w:val="28"/>
                <w:szCs w:val="28"/>
                <w:lang w:val="en-US"/>
              </w:rPr>
            </w:pPr>
            <w:r>
              <w:rPr>
                <w:rFonts w:ascii="標楷體" w:hAnsi="標楷體" w:eastAsia="標楷體"/>
                <w:sz w:val="28"/>
                <w:szCs w:val="28"/>
                <w:lang w:val="en-US"/>
              </w:rPr>
              <w:t xml:space="preserve">五、因任一方違反本契約任一約定或不履行本契約任何義務。    </w:t>
            </w:r>
          </w:p>
          <w:p>
            <w:pPr>
              <w:pStyle w:val="Normal"/>
              <w:spacing w:lineRule="exact" w:line="500" w:before="180" w:after="0"/>
              <w:ind w:left="936" w:right="0" w:hanging="0"/>
              <w:jc w:val="distribute"/>
              <w:rPr>
                <w:rFonts w:ascii="標楷體" w:hAnsi="標楷體" w:eastAsia="標楷體"/>
                <w:sz w:val="28"/>
                <w:szCs w:val="28"/>
                <w:lang w:val="en-US"/>
              </w:rPr>
            </w:pPr>
            <w:r>
              <w:rPr>
                <w:rFonts w:ascii="標楷體" w:hAnsi="標楷體" w:eastAsia="標楷體"/>
                <w:sz w:val="28"/>
                <w:szCs w:val="28"/>
                <w:lang w:val="en-US"/>
              </w:rPr>
              <w:t>前項第二款至第五款情事發生，應經當事人以書面定相當期限催告他方改正或補正，而他方未於期限內改正或補正者，當事人始得向他方表示終止本契約。</w:t>
            </w:r>
          </w:p>
          <w:p>
            <w:pPr>
              <w:pStyle w:val="Normal"/>
              <w:spacing w:lineRule="exact" w:line="500" w:before="180" w:after="0"/>
              <w:ind w:left="936" w:right="0" w:hanging="0"/>
              <w:jc w:val="distribute"/>
              <w:rPr>
                <w:rFonts w:ascii="標楷體" w:hAnsi="標楷體" w:eastAsia="標楷體"/>
                <w:sz w:val="28"/>
                <w:szCs w:val="28"/>
                <w:lang w:val="en-US"/>
              </w:rPr>
            </w:pPr>
            <w:r>
              <w:rPr>
                <w:rFonts w:ascii="標楷體" w:hAnsi="標楷體" w:eastAsia="標楷體"/>
                <w:sz w:val="28"/>
                <w:szCs w:val="28"/>
                <w:lang w:val="en-US"/>
              </w:rPr>
              <w:t>本契約於契約存續期間屆滿未續約，或經終止契約時，甲方應於終止生效日前指定新受託人。</w:t>
            </w:r>
          </w:p>
          <w:p>
            <w:pPr>
              <w:pStyle w:val="Normal"/>
              <w:spacing w:lineRule="exact" w:line="500" w:before="180" w:after="0"/>
              <w:ind w:left="938" w:right="113" w:hanging="398"/>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本契約終止時，乙方應報甲方所在地直轄市、縣（市）主管機關備查。</w:t>
            </w:r>
          </w:p>
        </w:tc>
      </w:tr>
      <w:tr>
        <w:trPr/>
        <w:tc>
          <w:tcPr>
            <w:tcW w:w="10207" w:type="dxa"/>
            <w:tcBorders/>
            <w:shd w:fill="auto" w:val="clear"/>
          </w:tcPr>
          <w:p>
            <w:pPr>
              <w:pStyle w:val="Normal"/>
              <w:spacing w:lineRule="exact" w:line="500" w:before="180" w:after="0"/>
              <w:ind w:left="-2" w:right="113" w:hanging="0"/>
              <w:jc w:val="distribute"/>
              <w:rPr>
                <w:rFonts w:ascii="標楷體" w:hAnsi="標楷體" w:eastAsia="標楷體"/>
                <w:sz w:val="28"/>
                <w:szCs w:val="28"/>
                <w:lang w:val="en-US"/>
              </w:rPr>
            </w:pPr>
            <w:r>
              <w:rPr>
                <w:rFonts w:ascii="標楷體" w:hAnsi="標楷體" w:eastAsia="標楷體"/>
                <w:sz w:val="28"/>
                <w:szCs w:val="28"/>
                <w:lang w:val="en-US"/>
              </w:rPr>
              <w:t>第十二條（信託關係消滅時信託財產之歸屬與交付方式）</w:t>
            </w:r>
          </w:p>
          <w:p>
            <w:pPr>
              <w:pStyle w:val="Normal"/>
              <w:spacing w:lineRule="exact" w:line="500" w:before="180" w:after="0"/>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本契約信託關係因終止而消滅時，信託財產應依下列方式處理：</w:t>
            </w:r>
          </w:p>
          <w:p>
            <w:pPr>
              <w:pStyle w:val="Normal"/>
              <w:numPr>
                <w:ilvl w:val="0"/>
                <w:numId w:val="3"/>
              </w:numPr>
              <w:tabs>
                <w:tab w:val="clear" w:pos="480"/>
                <w:tab w:val="left" w:pos="720" w:leader="none"/>
              </w:tabs>
              <w:spacing w:lineRule="exact" w:line="500" w:before="180" w:after="0"/>
              <w:ind w:left="720" w:hanging="720"/>
              <w:jc w:val="distribute"/>
              <w:rPr>
                <w:rFonts w:ascii="標楷體" w:hAnsi="標楷體" w:eastAsia="標楷體"/>
                <w:sz w:val="28"/>
                <w:szCs w:val="28"/>
                <w:lang w:val="en-US"/>
              </w:rPr>
            </w:pPr>
            <w:r>
              <w:rPr>
                <w:rFonts w:ascii="標楷體" w:hAnsi="標楷體" w:eastAsia="標楷體"/>
                <w:sz w:val="28"/>
                <w:szCs w:val="28"/>
                <w:lang w:val="en-US"/>
              </w:rPr>
              <w:t>因前條第一項第一款、第六款或第二項各款約定事由發生，且甲方已指定新受託人者，乙方應於○○日（最長不得逾六十日）內將信託財產進行結算，扣除應繳交之稅捐、各項費用及信託報酬後做成結算書及報告書，連同信託財產交付予新受託人；於未移交新受託人前，其信託關係視為存續，乙方仍依本契約管理之。</w:t>
            </w:r>
          </w:p>
          <w:p>
            <w:pPr>
              <w:pStyle w:val="Normal"/>
              <w:numPr>
                <w:ilvl w:val="0"/>
                <w:numId w:val="3"/>
              </w:numPr>
              <w:tabs>
                <w:tab w:val="clear" w:pos="480"/>
                <w:tab w:val="left" w:pos="720" w:leader="none"/>
              </w:tabs>
              <w:spacing w:lineRule="exact" w:line="500" w:before="180" w:after="0"/>
              <w:ind w:left="720" w:hanging="720"/>
              <w:jc w:val="distribute"/>
              <w:rPr>
                <w:rFonts w:ascii="標楷體" w:hAnsi="標楷體" w:eastAsia="標楷體"/>
                <w:sz w:val="28"/>
                <w:szCs w:val="28"/>
                <w:lang w:val="en-US"/>
              </w:rPr>
            </w:pPr>
            <w:r>
              <w:rPr>
                <w:rFonts w:ascii="標楷體" w:hAnsi="標楷體" w:eastAsia="標楷體"/>
                <w:sz w:val="28"/>
                <w:szCs w:val="28"/>
                <w:lang w:val="en-US"/>
              </w:rPr>
              <w:t>因前條第一項第一款、第六款或第二項第二款至第五款約定事由發生且甲方逾六個月未指定新受託人，或有前條第一項第二款至第五款自動終止情事者，乙方應報經甲方所在地直轄市、縣</w:t>
            </w:r>
            <w:r>
              <w:rPr>
                <w:rFonts w:eastAsia="標楷體" w:ascii="標楷體" w:hAnsi="標楷體"/>
                <w:sz w:val="28"/>
                <w:szCs w:val="28"/>
                <w:lang w:val="en-US"/>
              </w:rPr>
              <w:t>(</w:t>
            </w:r>
            <w:r>
              <w:rPr>
                <w:rFonts w:ascii="標楷體" w:hAnsi="標楷體" w:eastAsia="標楷體"/>
                <w:sz w:val="28"/>
                <w:szCs w:val="28"/>
                <w:lang w:val="en-US"/>
              </w:rPr>
              <w:t>市</w:t>
            </w:r>
            <w:r>
              <w:rPr>
                <w:rFonts w:eastAsia="標楷體" w:ascii="標楷體" w:hAnsi="標楷體"/>
                <w:sz w:val="28"/>
                <w:szCs w:val="28"/>
                <w:lang w:val="en-US"/>
              </w:rPr>
              <w:t>)</w:t>
            </w:r>
            <w:r>
              <w:rPr>
                <w:rFonts w:ascii="標楷體" w:hAnsi="標楷體" w:eastAsia="標楷體"/>
                <w:sz w:val="28"/>
                <w:szCs w:val="28"/>
                <w:lang w:val="en-US"/>
              </w:rPr>
              <w:t>主管機關核准後，於○○日內對信託財產進行清算，扣除應繳交之稅捐、各項費用及信託報酬後，剩餘財產依下列順序分配之，甲方並同意於應退還消費者之金額內，變更本契約受益人為消費者：</w:t>
            </w:r>
          </w:p>
          <w:p>
            <w:pPr>
              <w:pStyle w:val="Normal"/>
              <w:numPr>
                <w:ilvl w:val="1"/>
                <w:numId w:val="3"/>
              </w:numPr>
              <w:tabs>
                <w:tab w:val="clear" w:pos="480"/>
                <w:tab w:val="left" w:pos="1200" w:leader="none"/>
              </w:tabs>
              <w:spacing w:lineRule="exact" w:line="500" w:before="180" w:after="0"/>
              <w:ind w:left="1200" w:right="0" w:hanging="720"/>
              <w:jc w:val="distribute"/>
              <w:rPr>
                <w:rFonts w:ascii="標楷體" w:hAnsi="標楷體" w:eastAsia="標楷體"/>
                <w:sz w:val="28"/>
                <w:szCs w:val="28"/>
                <w:lang w:val="en-US"/>
              </w:rPr>
            </w:pPr>
            <w:r>
              <w:rPr>
                <w:rFonts w:ascii="標楷體" w:hAnsi="標楷體" w:eastAsia="標楷體"/>
                <w:sz w:val="28"/>
                <w:szCs w:val="28"/>
                <w:lang w:val="en-US"/>
              </w:rPr>
              <w:t>甲方所送信託清冊內尚未履約完畢之消費者。</w:t>
            </w:r>
          </w:p>
          <w:p>
            <w:pPr>
              <w:pStyle w:val="Normal"/>
              <w:numPr>
                <w:ilvl w:val="1"/>
                <w:numId w:val="3"/>
              </w:numPr>
              <w:tabs>
                <w:tab w:val="clear" w:pos="480"/>
                <w:tab w:val="left" w:pos="1200" w:leader="none"/>
              </w:tabs>
              <w:spacing w:lineRule="exact" w:line="500" w:before="180" w:after="0"/>
              <w:ind w:left="1200" w:right="0" w:hanging="720"/>
              <w:jc w:val="distribute"/>
              <w:rPr>
                <w:rFonts w:ascii="標楷體" w:hAnsi="標楷體" w:eastAsia="標楷體"/>
                <w:sz w:val="28"/>
                <w:szCs w:val="28"/>
                <w:lang w:val="en-US"/>
              </w:rPr>
            </w:pPr>
            <w:r>
              <w:rPr>
                <w:rFonts w:ascii="標楷體" w:hAnsi="標楷體" w:eastAsia="標楷體"/>
                <w:sz w:val="28"/>
                <w:szCs w:val="28"/>
                <w:lang w:val="en-US"/>
              </w:rPr>
              <w:t>甲方。</w:t>
            </w:r>
          </w:p>
        </w:tc>
      </w:tr>
      <w:tr>
        <w:trPr/>
        <w:tc>
          <w:tcPr>
            <w:tcW w:w="10207" w:type="dxa"/>
            <w:tcBorders/>
            <w:shd w:fill="auto" w:val="clear"/>
          </w:tcPr>
          <w:p>
            <w:pPr>
              <w:pStyle w:val="Normal"/>
              <w:spacing w:lineRule="exact" w:line="500" w:before="180" w:after="0"/>
              <w:jc w:val="distribute"/>
              <w:rPr>
                <w:rFonts w:ascii="標楷體" w:hAnsi="標楷體" w:eastAsia="標楷體"/>
                <w:sz w:val="28"/>
                <w:szCs w:val="28"/>
                <w:lang w:val="en-US"/>
              </w:rPr>
            </w:pPr>
            <w:r>
              <w:rPr>
                <w:rFonts w:ascii="標楷體" w:hAnsi="標楷體" w:eastAsia="標楷體"/>
                <w:sz w:val="28"/>
                <w:szCs w:val="28"/>
                <w:lang w:val="en-US"/>
              </w:rPr>
              <w:t>第十三條（信託關係消滅時剩餘財產之分配順序及方式）</w:t>
            </w:r>
          </w:p>
          <w:p>
            <w:pPr>
              <w:pStyle w:val="Normal"/>
              <w:spacing w:lineRule="exact" w:line="500" w:before="180" w:after="0"/>
              <w:jc w:val="distribute"/>
              <w:rPr/>
            </w:pPr>
            <w:r>
              <w:rPr>
                <w:rFonts w:ascii="標楷體" w:hAnsi="標楷體" w:eastAsia="標楷體"/>
                <w:lang w:val="en-US"/>
              </w:rPr>
              <w:t xml:space="preserve">       </w:t>
            </w:r>
            <w:r>
              <w:rPr>
                <w:rFonts w:ascii="標楷體" w:hAnsi="標楷體" w:eastAsia="標楷體"/>
                <w:sz w:val="28"/>
                <w:szCs w:val="28"/>
                <w:lang w:val="en-US"/>
              </w:rPr>
              <w:t>前條剩餘財產之分配順序及方式如下：</w:t>
            </w:r>
          </w:p>
          <w:p>
            <w:pPr>
              <w:pStyle w:val="Normal"/>
              <w:numPr>
                <w:ilvl w:val="0"/>
                <w:numId w:val="4"/>
              </w:numPr>
              <w:tabs>
                <w:tab w:val="clear" w:pos="480"/>
                <w:tab w:val="left" w:pos="1050" w:leader="none"/>
              </w:tabs>
              <w:spacing w:lineRule="exact" w:line="500" w:before="180" w:after="0"/>
              <w:ind w:left="1050" w:hanging="510"/>
              <w:jc w:val="distribute"/>
              <w:rPr>
                <w:rFonts w:ascii="標楷體" w:hAnsi="標楷體" w:eastAsia="標楷體"/>
                <w:sz w:val="28"/>
                <w:szCs w:val="28"/>
                <w:lang w:val="en-US"/>
              </w:rPr>
            </w:pPr>
            <w:r>
              <w:rPr>
                <w:rFonts w:ascii="標楷體" w:hAnsi="標楷體" w:eastAsia="標楷體"/>
                <w:sz w:val="28"/>
                <w:szCs w:val="28"/>
                <w:lang w:val="en-US"/>
              </w:rPr>
              <w:t>按本契約第二條之信託清冊登記金額計算各消費者交付信託金額占全體消費者交付信託金額比例，分配予未履約完畢之消費者，且其領回金額以其簽訂生前殯葬服務契約已繳之費用為限。</w:t>
            </w:r>
          </w:p>
          <w:p>
            <w:pPr>
              <w:pStyle w:val="Normal"/>
              <w:numPr>
                <w:ilvl w:val="0"/>
                <w:numId w:val="4"/>
              </w:numPr>
              <w:tabs>
                <w:tab w:val="clear" w:pos="480"/>
                <w:tab w:val="left" w:pos="1050" w:leader="none"/>
              </w:tabs>
              <w:spacing w:lineRule="exact" w:line="500" w:before="180" w:after="0"/>
              <w:ind w:left="1050" w:hanging="510"/>
              <w:jc w:val="distribute"/>
              <w:rPr>
                <w:rFonts w:ascii="標楷體" w:hAnsi="標楷體" w:eastAsia="標楷體"/>
                <w:sz w:val="28"/>
                <w:szCs w:val="28"/>
                <w:lang w:val="en-US"/>
              </w:rPr>
            </w:pPr>
            <w:r>
              <w:rPr>
                <w:rFonts w:ascii="標楷體" w:hAnsi="標楷體" w:eastAsia="標楷體"/>
                <w:sz w:val="28"/>
                <w:szCs w:val="28"/>
                <w:lang w:val="en-US"/>
              </w:rPr>
              <w:t>剩餘財產扣除前款消費者應領取金額後，如有餘款，則返還甲方。</w:t>
            </w:r>
          </w:p>
        </w:tc>
      </w:tr>
      <w:tr>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第十四條（受託人之責任）</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乙方應依信託法、信託業法、本條例及投資標的相關法令之規定，以善良管理人之注意，妥善處理信託事務，並負忠實義務。</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乙方因管理不當致信託財產受有損害或違反本契約意旨處理信託財產時，應對甲方負損害賠償之責，甲方並得減免乙方之報酬。但係因天災、戰爭、法令變更或其他不可歸責於乙方之事由減損或滅失時，不在此限。</w:t>
            </w:r>
          </w:p>
        </w:tc>
      </w:tr>
      <w:tr>
        <w:trPr/>
        <w:tc>
          <w:tcPr>
            <w:tcW w:w="10207" w:type="dxa"/>
            <w:tcBorders/>
            <w:shd w:fill="auto" w:val="clear"/>
          </w:tcPr>
          <w:p>
            <w:pPr>
              <w:pStyle w:val="Normal"/>
              <w:tabs>
                <w:tab w:val="clear" w:pos="480"/>
                <w:tab w:val="left" w:pos="-140" w:leader="none"/>
              </w:tabs>
              <w:spacing w:lineRule="exact" w:line="500" w:before="180" w:after="0"/>
              <w:ind w:left="50" w:right="113" w:hanging="50"/>
              <w:jc w:val="distribute"/>
              <w:rPr>
                <w:rFonts w:ascii="標楷體" w:hAnsi="標楷體" w:eastAsia="標楷體"/>
                <w:sz w:val="28"/>
                <w:szCs w:val="28"/>
                <w:lang w:val="en-US"/>
              </w:rPr>
            </w:pPr>
            <w:r>
              <w:rPr>
                <w:rFonts w:ascii="標楷體" w:hAnsi="標楷體" w:eastAsia="標楷體"/>
                <w:sz w:val="28"/>
                <w:szCs w:val="28"/>
                <w:lang w:val="en-US"/>
              </w:rPr>
              <w:t>第十五條（受託人之報酬種類、標準、計算方法、支付時期及方法）</w:t>
            </w:r>
          </w:p>
          <w:p>
            <w:pPr>
              <w:pStyle w:val="Normal"/>
              <w:tabs>
                <w:tab w:val="clear" w:pos="480"/>
                <w:tab w:val="left" w:pos="938" w:leader="none"/>
              </w:tabs>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有關乙方之報酬種類、標準、計算方法、支付時期及方法，如附件（請雙方自行依投資標的性質及約定計算方式詳填之）。</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乙方應於每月○日前，就上個月信託管理費詳加計算後，由甲方支付；若有不足額部分，乙方始得由信託財產中扣抵。</w:t>
            </w:r>
          </w:p>
        </w:tc>
      </w:tr>
      <w:tr>
        <w:trPr/>
        <w:tc>
          <w:tcPr>
            <w:tcW w:w="10207" w:type="dxa"/>
            <w:tcBorders/>
            <w:shd w:fill="auto" w:val="clear"/>
          </w:tcPr>
          <w:p>
            <w:pPr>
              <w:pStyle w:val="Normal"/>
              <w:spacing w:lineRule="exact" w:line="500" w:before="180" w:after="0"/>
              <w:ind w:left="1" w:right="113" w:hanging="0"/>
              <w:jc w:val="distribute"/>
              <w:rPr>
                <w:rFonts w:ascii="標楷體" w:hAnsi="標楷體" w:eastAsia="標楷體"/>
                <w:sz w:val="28"/>
                <w:szCs w:val="28"/>
                <w:lang w:val="en-US"/>
              </w:rPr>
            </w:pPr>
            <w:r>
              <w:rPr>
                <w:rFonts w:ascii="標楷體" w:hAnsi="標楷體" w:eastAsia="標楷體"/>
                <w:sz w:val="28"/>
                <w:szCs w:val="28"/>
                <w:lang w:val="en-US"/>
              </w:rPr>
              <w:t>第十六條（各項稅賦、規費、會計師簽證費之負擔）</w:t>
            </w:r>
          </w:p>
          <w:p>
            <w:pPr>
              <w:pStyle w:val="Normal"/>
              <w:spacing w:lineRule="exact" w:line="500" w:before="180" w:after="0"/>
              <w:ind w:left="758" w:right="113" w:hanging="938"/>
              <w:jc w:val="distribute"/>
              <w:rPr/>
            </w:pPr>
            <w:r>
              <w:rPr>
                <w:rFonts w:ascii="標楷體" w:hAnsi="標楷體" w:eastAsia="標楷體"/>
                <w:sz w:val="28"/>
                <w:szCs w:val="28"/>
                <w:lang w:val="en-US"/>
              </w:rPr>
              <w:t xml:space="preserve">       </w:t>
            </w:r>
            <w:r>
              <w:rPr>
                <w:rFonts w:ascii="標楷體" w:hAnsi="標楷體" w:eastAsia="標楷體"/>
                <w:sz w:val="28"/>
                <w:szCs w:val="28"/>
                <w:lang w:val="en-US"/>
              </w:rPr>
              <w:t>本契約信託財產</w:t>
            </w:r>
            <w:r>
              <w:rPr>
                <w:rFonts w:ascii="標楷體" w:hAnsi="標楷體" w:eastAsia="標楷體"/>
                <w:b/>
                <w:bCs/>
                <w:sz w:val="28"/>
                <w:szCs w:val="28"/>
                <w:lang w:val="en-US"/>
              </w:rPr>
              <w:t>管理、運用或處分</w:t>
            </w:r>
            <w:r>
              <w:rPr>
                <w:rFonts w:ascii="標楷體" w:hAnsi="標楷體" w:eastAsia="標楷體"/>
                <w:sz w:val="28"/>
                <w:szCs w:val="28"/>
                <w:lang w:val="en-US"/>
              </w:rPr>
              <w:t>所生之稅捐，悉依本國稅法及相關法令辦理。</w:t>
            </w:r>
          </w:p>
          <w:p>
            <w:pPr>
              <w:pStyle w:val="Normal"/>
              <w:spacing w:lineRule="exact" w:line="500" w:before="180" w:after="0"/>
              <w:ind w:left="0" w:right="113" w:firstLine="756"/>
              <w:jc w:val="distribute"/>
              <w:rPr/>
            </w:pPr>
            <w:r>
              <w:rPr>
                <w:rFonts w:ascii="標楷體" w:hAnsi="標楷體" w:eastAsia="標楷體"/>
                <w:sz w:val="28"/>
                <w:szCs w:val="28"/>
                <w:lang w:val="en-US"/>
              </w:rPr>
              <w:t>因本契約信託財產之</w:t>
            </w:r>
            <w:r>
              <w:rPr>
                <w:rFonts w:ascii="標楷體" w:hAnsi="標楷體" w:eastAsia="標楷體"/>
                <w:b/>
                <w:bCs/>
                <w:sz w:val="28"/>
                <w:szCs w:val="28"/>
                <w:lang w:val="en-US"/>
              </w:rPr>
              <w:t>管理、運用或處分</w:t>
            </w:r>
            <w:r>
              <w:rPr>
                <w:rFonts w:ascii="標楷體" w:hAnsi="標楷體" w:eastAsia="標楷體"/>
                <w:sz w:val="28"/>
                <w:szCs w:val="28"/>
                <w:lang w:val="en-US"/>
              </w:rPr>
              <w:t>所產生之費用及稅捐，由甲方負擔。</w:t>
            </w:r>
          </w:p>
          <w:p>
            <w:pPr>
              <w:pStyle w:val="Normal"/>
              <w:spacing w:lineRule="exact" w:line="500" w:before="180" w:after="0"/>
              <w:ind w:left="756" w:right="113" w:hanging="0"/>
              <w:jc w:val="distribute"/>
              <w:rPr/>
            </w:pPr>
            <w:r>
              <w:rPr>
                <w:rFonts w:ascii="標楷體" w:hAnsi="標楷體" w:eastAsia="標楷體"/>
                <w:sz w:val="28"/>
                <w:szCs w:val="28"/>
                <w:lang w:val="en-US"/>
              </w:rPr>
              <w:t>乙方依本契約提供予甲方信託財產交易紀錄、收益分配情形等資料之會計師簽證費用，由甲方負擔</w:t>
            </w:r>
            <w:r>
              <w:rPr>
                <w:rFonts w:ascii="標楷體" w:hAnsi="標楷體" w:eastAsia="標楷體"/>
                <w:b/>
                <w:bCs/>
                <w:sz w:val="28"/>
                <w:szCs w:val="28"/>
                <w:lang w:val="en-US"/>
              </w:rPr>
              <w:t>，或併於乙方應收取之信託管理費內支付。</w:t>
            </w:r>
          </w:p>
        </w:tc>
      </w:tr>
      <w:tr>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第十七條（其他約定事項）</w:t>
            </w:r>
          </w:p>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 xml:space="preserve">      </w:t>
            </w:r>
            <w:r>
              <w:rPr>
                <w:rFonts w:ascii="標楷體" w:hAnsi="標楷體" w:eastAsia="標楷體"/>
                <w:sz w:val="28"/>
                <w:szCs w:val="28"/>
                <w:lang w:val="en-US"/>
              </w:rPr>
              <w:t>甲乙雙方就本契約其他約定事項如下：</w:t>
            </w:r>
          </w:p>
          <w:p>
            <w:pPr>
              <w:pStyle w:val="Style16"/>
              <w:widowControl/>
              <w:numPr>
                <w:ilvl w:val="0"/>
                <w:numId w:val="2"/>
              </w:numPr>
              <w:tabs>
                <w:tab w:val="clear" w:pos="480"/>
                <w:tab w:val="left" w:pos="992" w:leader="none"/>
              </w:tabs>
              <w:spacing w:lineRule="exact" w:line="500" w:before="180" w:after="0"/>
              <w:ind w:left="992" w:hanging="652"/>
              <w:jc w:val="distribute"/>
              <w:rPr>
                <w:rFonts w:eastAsia="標楷體"/>
                <w:sz w:val="28"/>
                <w:szCs w:val="28"/>
              </w:rPr>
            </w:pPr>
            <w:r>
              <w:rPr>
                <w:sz w:val="28"/>
                <w:szCs w:val="28"/>
              </w:rPr>
              <w:t>除法律、主管機關或本契約另有規定外，甲乙雙方對於因簽訂本契約所獲得有關他方及信託清冊上所登載消費者之個人、交易及往來資料，負有保密義務，並不得為契約履行範圍外之利用。</w:t>
            </w:r>
          </w:p>
          <w:p>
            <w:pPr>
              <w:pStyle w:val="Style16"/>
              <w:widowControl/>
              <w:numPr>
                <w:ilvl w:val="0"/>
                <w:numId w:val="2"/>
              </w:numPr>
              <w:tabs>
                <w:tab w:val="clear" w:pos="480"/>
                <w:tab w:val="left" w:pos="992" w:leader="none"/>
              </w:tabs>
              <w:spacing w:lineRule="exact" w:line="500" w:before="180" w:after="0"/>
              <w:ind w:left="992" w:hanging="652"/>
              <w:jc w:val="distribute"/>
              <w:rPr/>
            </w:pPr>
            <w:r>
              <w:rPr>
                <w:sz w:val="28"/>
                <w:szCs w:val="28"/>
              </w:rPr>
              <w:t>甲方於行銷、廣告、業務招攬或與消費者訂約時，應向其行銷、廣告或業務招攬之對象或消費者明確告知，本信託之受益人為甲方而非消費者，甲方並不得使消費者誤認乙方係為消費者受託管理信託財產，並應將前揭事項明定於甲方與消費者簽訂之生前殯葬服務契約。</w:t>
            </w:r>
          </w:p>
          <w:p>
            <w:pPr>
              <w:pStyle w:val="Style16"/>
              <w:widowControl/>
              <w:numPr>
                <w:ilvl w:val="0"/>
                <w:numId w:val="2"/>
              </w:numPr>
              <w:tabs>
                <w:tab w:val="clear" w:pos="480"/>
                <w:tab w:val="left" w:pos="992" w:leader="none"/>
              </w:tabs>
              <w:spacing w:lineRule="exact" w:line="500" w:before="180" w:after="0"/>
              <w:ind w:left="992" w:hanging="652"/>
              <w:jc w:val="distribute"/>
              <w:rPr>
                <w:rFonts w:eastAsia="標楷體"/>
                <w:sz w:val="28"/>
                <w:szCs w:val="28"/>
              </w:rPr>
            </w:pPr>
            <w:r>
              <w:rPr>
                <w:sz w:val="28"/>
                <w:szCs w:val="28"/>
              </w:rPr>
              <w:t>經消費者請求時，甲方或乙方應提供本契約相關約定條款影本。</w:t>
            </w:r>
          </w:p>
          <w:p>
            <w:pPr>
              <w:pStyle w:val="Style16"/>
              <w:widowControl/>
              <w:numPr>
                <w:ilvl w:val="0"/>
                <w:numId w:val="2"/>
              </w:numPr>
              <w:tabs>
                <w:tab w:val="clear" w:pos="480"/>
                <w:tab w:val="left" w:pos="992" w:leader="none"/>
              </w:tabs>
              <w:spacing w:lineRule="exact" w:line="500" w:before="180" w:after="0"/>
              <w:ind w:left="992" w:right="0" w:hanging="652"/>
              <w:jc w:val="distribute"/>
              <w:rPr>
                <w:rFonts w:eastAsia="標楷體"/>
                <w:sz w:val="28"/>
                <w:szCs w:val="28"/>
              </w:rPr>
            </w:pPr>
            <w:r>
              <w:rPr>
                <w:sz w:val="28"/>
                <w:szCs w:val="28"/>
              </w:rPr>
              <w:t>甲方應提供其與消費者簽訂之生前殯葬服務定型化契約予乙方備查。</w:t>
            </w:r>
          </w:p>
          <w:p>
            <w:pPr>
              <w:pStyle w:val="Style16"/>
              <w:widowControl/>
              <w:numPr>
                <w:ilvl w:val="0"/>
                <w:numId w:val="2"/>
              </w:numPr>
              <w:tabs>
                <w:tab w:val="clear" w:pos="480"/>
                <w:tab w:val="left" w:pos="992" w:leader="none"/>
              </w:tabs>
              <w:spacing w:lineRule="exact" w:line="500" w:before="180" w:after="0"/>
              <w:ind w:left="992" w:hanging="652"/>
              <w:jc w:val="distribute"/>
              <w:rPr>
                <w:rFonts w:eastAsia="標楷體"/>
                <w:sz w:val="28"/>
                <w:szCs w:val="28"/>
              </w:rPr>
            </w:pPr>
            <w:r>
              <w:rPr>
                <w:sz w:val="28"/>
                <w:szCs w:val="28"/>
              </w:rPr>
              <w:t>本契約未盡事宜，悉依信託法、信託業法、本條例、中華民國信託業商業同業公會會員辦理預收款信託業務應行注意事項及投資標的相關法令之規定辦理。</w:t>
            </w:r>
          </w:p>
        </w:tc>
      </w:tr>
      <w:tr>
        <w:trPr/>
        <w:tc>
          <w:tcPr>
            <w:tcW w:w="10207" w:type="dxa"/>
            <w:tcBorders/>
            <w:shd w:fill="auto" w:val="clear"/>
          </w:tcPr>
          <w:p>
            <w:pPr>
              <w:pStyle w:val="Normal"/>
              <w:spacing w:lineRule="exact" w:line="500" w:before="180" w:after="0"/>
              <w:ind w:left="0" w:right="113" w:hanging="0"/>
              <w:jc w:val="distribute"/>
              <w:rPr/>
            </w:pPr>
            <w:r>
              <w:rPr>
                <w:rFonts w:ascii="標楷體" w:hAnsi="標楷體" w:eastAsia="標楷體"/>
                <w:color w:val="000000"/>
                <w:sz w:val="28"/>
                <w:szCs w:val="28"/>
                <w:lang w:val="en-US"/>
              </w:rPr>
              <w:t>第十八條（</w:t>
            </w:r>
            <w:r>
              <w:rPr>
                <w:rFonts w:ascii="標楷體" w:hAnsi="標楷體" w:eastAsia="標楷體"/>
                <w:sz w:val="28"/>
                <w:szCs w:val="28"/>
                <w:lang w:val="en-US"/>
              </w:rPr>
              <w:t>管轄法院</w:t>
            </w:r>
            <w:r>
              <w:rPr>
                <w:rFonts w:ascii="標楷體" w:hAnsi="標楷體" w:eastAsia="標楷體"/>
                <w:color w:val="000000"/>
                <w:sz w:val="28"/>
                <w:szCs w:val="28"/>
                <w:lang w:val="en-US"/>
              </w:rPr>
              <w:t>）</w:t>
            </w:r>
          </w:p>
          <w:p>
            <w:pPr>
              <w:pStyle w:val="Normal"/>
              <w:spacing w:lineRule="exact" w:line="500" w:before="180" w:after="0"/>
              <w:ind w:left="0" w:right="113" w:hanging="0"/>
              <w:jc w:val="distribute"/>
              <w:rPr>
                <w:rFonts w:ascii="標楷體" w:hAnsi="標楷體" w:eastAsia="標楷體"/>
                <w:color w:val="000000"/>
                <w:sz w:val="28"/>
                <w:szCs w:val="28"/>
                <w:lang w:val="en-US"/>
              </w:rPr>
            </w:pPr>
            <w:r>
              <w:rPr>
                <w:rFonts w:ascii="標楷體" w:hAnsi="標楷體" w:eastAsia="標楷體"/>
                <w:color w:val="000000"/>
                <w:sz w:val="28"/>
                <w:szCs w:val="28"/>
                <w:lang w:val="en-US"/>
              </w:rPr>
              <w:t xml:space="preserve">      </w:t>
            </w:r>
            <w:r>
              <w:rPr>
                <w:rFonts w:ascii="標楷體" w:hAnsi="標楷體" w:eastAsia="標楷體"/>
                <w:color w:val="000000"/>
                <w:sz w:val="28"/>
                <w:szCs w:val="28"/>
                <w:lang w:val="en-US"/>
              </w:rPr>
              <w:t>雙方因本契約爭議涉訟時，同意以臺灣○○地方法院為管轄法院。</w:t>
            </w:r>
          </w:p>
        </w:tc>
      </w:tr>
      <w:tr>
        <w:trPr/>
        <w:tc>
          <w:tcPr>
            <w:tcW w:w="10207" w:type="dxa"/>
            <w:tcBorders/>
            <w:shd w:fill="auto" w:val="clear"/>
          </w:tcPr>
          <w:p>
            <w:pPr>
              <w:pStyle w:val="Normal"/>
              <w:spacing w:lineRule="exact" w:line="500" w:before="180" w:after="0"/>
              <w:ind w:left="0" w:right="113" w:hanging="0"/>
              <w:jc w:val="distribute"/>
              <w:rPr>
                <w:rFonts w:ascii="標楷體" w:hAnsi="標楷體" w:eastAsia="標楷體"/>
                <w:sz w:val="28"/>
                <w:szCs w:val="28"/>
                <w:lang w:val="en-US"/>
              </w:rPr>
            </w:pPr>
            <w:r>
              <w:rPr>
                <w:rFonts w:ascii="標楷體" w:hAnsi="標楷體" w:eastAsia="標楷體"/>
                <w:sz w:val="28"/>
                <w:szCs w:val="28"/>
                <w:lang w:val="en-US"/>
              </w:rPr>
              <w:t>第十九條（契約分存）</w:t>
            </w:r>
          </w:p>
          <w:p>
            <w:pPr>
              <w:pStyle w:val="Normal"/>
              <w:spacing w:lineRule="exact" w:line="500" w:before="180" w:after="0"/>
              <w:ind w:left="936" w:right="113" w:hanging="0"/>
              <w:jc w:val="distribute"/>
              <w:rPr>
                <w:rFonts w:ascii="標楷體" w:hAnsi="標楷體" w:eastAsia="標楷體"/>
                <w:sz w:val="28"/>
                <w:szCs w:val="28"/>
                <w:lang w:val="en-US"/>
              </w:rPr>
            </w:pPr>
            <w:r>
              <w:rPr>
                <w:rFonts w:ascii="標楷體" w:hAnsi="標楷體" w:eastAsia="標楷體"/>
                <w:sz w:val="28"/>
                <w:szCs w:val="28"/>
                <w:lang w:val="en-US"/>
              </w:rPr>
              <w:t>本契約一式兩份，甲乙雙方各收執乙份，另繕副本一份由甲方併同其備具一定規模之證明、生前殯葬服務定型化契約等資料送甲方所在地直轄市、縣（市）主管機關備查。</w:t>
            </w:r>
          </w:p>
        </w:tc>
      </w:tr>
    </w:tbl>
    <w:p>
      <w:pPr>
        <w:pStyle w:val="Normal"/>
        <w:jc w:val="distribute"/>
        <w:rPr/>
      </w:pPr>
      <w:r>
        <w:rPr/>
      </w:r>
    </w:p>
    <w:p>
      <w:pPr>
        <w:pStyle w:val="Normal"/>
        <w:jc w:val="distribute"/>
        <w:rPr/>
      </w:pPr>
      <w:r>
        <w:rPr/>
      </w:r>
    </w:p>
    <w:p>
      <w:pPr>
        <w:pStyle w:val="Normal"/>
        <w:jc w:val="distribute"/>
        <w:rPr/>
      </w:pPr>
      <w:r>
        <w:rPr/>
      </w:r>
    </w:p>
    <w:p>
      <w:pPr>
        <w:pStyle w:val="Normal"/>
        <w:jc w:val="distribute"/>
        <w:rPr/>
      </w:pPr>
      <w:r>
        <w:rPr/>
      </w:r>
    </w:p>
    <w:p>
      <w:pPr>
        <w:pStyle w:val="Normal"/>
        <w:jc w:val="distribute"/>
        <w:rPr/>
      </w:pPr>
      <w:r>
        <w:rPr/>
      </w:r>
    </w:p>
    <w:p>
      <w:pPr>
        <w:pStyle w:val="Normal"/>
        <w:jc w:val="distribute"/>
        <w:rPr/>
      </w:pPr>
      <w:r>
        <w:rPr/>
      </w:r>
    </w:p>
    <w:p>
      <w:pPr>
        <w:pStyle w:val="Normal"/>
        <w:jc w:val="distribute"/>
        <w:rPr/>
      </w:pPr>
      <w:r>
        <w:rPr/>
      </w:r>
    </w:p>
    <w:p>
      <w:pPr>
        <w:pStyle w:val="Normal"/>
        <w:jc w:val="distribute"/>
        <w:rPr/>
      </w:pPr>
      <w:r>
        <w:rPr/>
      </w:r>
    </w:p>
    <w:p>
      <w:pPr>
        <w:pStyle w:val="Normal"/>
        <w:jc w:val="distribute"/>
        <w:rPr/>
      </w:pPr>
      <w:r>
        <w:rPr/>
      </w:r>
    </w:p>
    <w:p>
      <w:pPr>
        <w:pStyle w:val="Normal"/>
        <w:spacing w:lineRule="exact" w:line="500"/>
        <w:ind w:left="0" w:right="0" w:firstLine="280"/>
        <w:jc w:val="distribute"/>
        <w:rPr>
          <w:rFonts w:ascii="標楷體" w:hAnsi="標楷體" w:eastAsia="標楷體"/>
          <w:sz w:val="28"/>
        </w:rPr>
      </w:pPr>
      <w:r>
        <w:rPr>
          <w:rFonts w:ascii="標楷體" w:hAnsi="標楷體" w:eastAsia="標楷體"/>
        </w:rPr>
        <w:t>立契約書人：</w:t>
      </w:r>
    </w:p>
    <w:p>
      <w:pPr>
        <w:pStyle w:val="Normal"/>
        <w:spacing w:lineRule="exact" w:line="500"/>
        <w:ind w:left="0" w:right="0" w:firstLine="1680"/>
        <w:jc w:val="distribute"/>
        <w:rPr>
          <w:rFonts w:ascii="標楷體" w:hAnsi="標楷體" w:eastAsia="標楷體"/>
          <w:sz w:val="28"/>
        </w:rPr>
      </w:pPr>
      <w:r>
        <w:rPr>
          <w:rFonts w:eastAsia="標楷體" w:ascii="標楷體" w:hAnsi="標楷體"/>
          <w:sz w:val="28"/>
        </w:rPr>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 xml:space="preserve">甲方公司名稱（委託人兼受益人）： </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營利事業統一編號：</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代表人：</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國民身分證統一編號：</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住址：</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電話：</w:t>
      </w:r>
    </w:p>
    <w:p>
      <w:pPr>
        <w:pStyle w:val="Normal"/>
        <w:spacing w:lineRule="exact" w:line="500"/>
        <w:jc w:val="distribute"/>
        <w:rPr>
          <w:rFonts w:ascii="標楷體" w:hAnsi="標楷體" w:eastAsia="標楷體"/>
          <w:sz w:val="28"/>
        </w:rPr>
      </w:pPr>
      <w:r>
        <w:rPr>
          <w:rFonts w:eastAsia="標楷體" w:ascii="標楷體" w:hAnsi="標楷體"/>
          <w:sz w:val="28"/>
        </w:rPr>
      </w:r>
    </w:p>
    <w:p>
      <w:pPr>
        <w:pStyle w:val="Normal"/>
        <w:spacing w:lineRule="exact" w:line="500"/>
        <w:ind w:left="0" w:right="0" w:firstLine="1680"/>
        <w:jc w:val="distribute"/>
        <w:rPr/>
      </w:pPr>
      <w:r>
        <w:rPr>
          <w:rFonts w:ascii="標楷體" w:hAnsi="標楷體" w:eastAsia="標楷體"/>
        </w:rPr>
        <w:t>乙方公司</w:t>
      </w:r>
      <w:r>
        <w:rPr>
          <w:rFonts w:ascii="標楷體" w:hAnsi="標楷體" w:eastAsia="標楷體"/>
          <w:sz w:val="28"/>
          <w:szCs w:val="28"/>
        </w:rPr>
        <w:t>名稱</w:t>
      </w:r>
      <w:r>
        <w:rPr>
          <w:rFonts w:ascii="標楷體" w:hAnsi="標楷體" w:eastAsia="標楷體"/>
        </w:rPr>
        <w:t xml:space="preserve">（受託人）： </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營利事業統一編號：</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代表人：</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國民身分證統一編號：</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地址：　　　　　　</w:t>
      </w:r>
    </w:p>
    <w:p>
      <w:pPr>
        <w:pStyle w:val="Normal"/>
        <w:spacing w:lineRule="exact" w:line="500"/>
        <w:ind w:left="0" w:right="0" w:firstLine="1680"/>
        <w:jc w:val="distribute"/>
        <w:rPr>
          <w:rFonts w:ascii="標楷體" w:hAnsi="標楷體" w:eastAsia="標楷體"/>
          <w:sz w:val="28"/>
        </w:rPr>
      </w:pPr>
      <w:r>
        <w:rPr>
          <w:rFonts w:ascii="標楷體" w:hAnsi="標楷體" w:eastAsia="標楷體"/>
        </w:rPr>
        <w:t>電話：</w:t>
      </w:r>
    </w:p>
    <w:p>
      <w:pPr>
        <w:pStyle w:val="Normal"/>
        <w:spacing w:lineRule="exact" w:line="500"/>
        <w:ind w:left="0" w:right="0" w:firstLine="1680"/>
        <w:jc w:val="distribute"/>
        <w:rPr>
          <w:rFonts w:ascii="標楷體" w:hAnsi="標楷體" w:eastAsia="標楷體"/>
          <w:sz w:val="28"/>
        </w:rPr>
      </w:pPr>
      <w:r>
        <w:rPr>
          <w:rFonts w:eastAsia="標楷體" w:ascii="標楷體" w:hAnsi="標楷體"/>
          <w:sz w:val="28"/>
        </w:rPr>
      </w:r>
    </w:p>
    <w:p>
      <w:pPr>
        <w:pStyle w:val="Normal"/>
        <w:spacing w:lineRule="exact" w:line="500" w:before="180" w:after="50"/>
        <w:ind w:left="360" w:right="-314" w:hanging="0"/>
        <w:jc w:val="center"/>
        <w:rPr>
          <w:rFonts w:eastAsia="標楷體"/>
          <w:sz w:val="28"/>
        </w:rPr>
      </w:pPr>
      <w:r>
        <w:rPr>
          <w:rFonts w:eastAsia="標楷體"/>
        </w:rPr>
        <w:t>中華民國        年      月         日</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w:charset w:val="88"/>
    <w:family w:val="swiss"/>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第%1條"/>
      <w:lvlJc w:val="left"/>
      <w:pPr>
        <w:tabs>
          <w:tab w:val="num" w:pos="1186"/>
        </w:tabs>
        <w:ind w:left="1186" w:hanging="1185"/>
      </w:pPr>
      <w:rPr/>
    </w:lvl>
    <w:lvl w:ilvl="1">
      <w:start w:val="1"/>
      <w:numFmt w:val="decimal"/>
      <w:lvlText w:val="%2."/>
      <w:lvlJc w:val="left"/>
      <w:pPr>
        <w:tabs>
          <w:tab w:val="num" w:pos="961"/>
        </w:tabs>
        <w:ind w:left="961" w:hanging="480"/>
      </w:pPr>
      <w:rPr/>
    </w:lvl>
    <w:lvl w:ilvl="2">
      <w:start w:val="1"/>
      <w:numFmt w:val="decimal"/>
      <w:lvlText w:val="%3、"/>
      <w:lvlJc w:val="left"/>
      <w:pPr>
        <w:tabs>
          <w:tab w:val="num" w:pos="1681"/>
        </w:tabs>
        <w:ind w:left="1681" w:hanging="720"/>
      </w:pPr>
      <w:rPr/>
    </w:lvl>
    <w:lvl w:ilvl="3">
      <w:start w:val="1"/>
      <w:numFmt w:val="decimal"/>
      <w:lvlText w:val="%4."/>
      <w:lvlJc w:val="left"/>
      <w:pPr>
        <w:tabs>
          <w:tab w:val="num" w:pos="1921"/>
        </w:tabs>
        <w:ind w:left="1921" w:hanging="480"/>
      </w:pPr>
      <w:rPr/>
    </w:lvl>
    <w:lvl w:ilvl="4">
      <w:start w:val="1"/>
      <w:numFmt w:val="decimal"/>
      <w:lvlText w:val="%5、"/>
      <w:lvlJc w:val="left"/>
      <w:pPr>
        <w:tabs>
          <w:tab w:val="num" w:pos="2401"/>
        </w:tabs>
        <w:ind w:left="2401" w:hanging="480"/>
      </w:pPr>
      <w:rPr/>
    </w:lvl>
    <w:lvl w:ilvl="5">
      <w:start w:val="1"/>
      <w:numFmt w:val="lowerRoman"/>
      <w:lvlText w:val="%6."/>
      <w:lvlJc w:val="right"/>
      <w:pPr>
        <w:tabs>
          <w:tab w:val="num" w:pos="2881"/>
        </w:tabs>
        <w:ind w:left="2881" w:hanging="480"/>
      </w:pPr>
      <w:rPr/>
    </w:lvl>
    <w:lvl w:ilvl="6">
      <w:start w:val="1"/>
      <w:numFmt w:val="decimal"/>
      <w:lvlText w:val="%7."/>
      <w:lvlJc w:val="left"/>
      <w:pPr>
        <w:tabs>
          <w:tab w:val="num" w:pos="3361"/>
        </w:tabs>
        <w:ind w:left="3361" w:hanging="480"/>
      </w:pPr>
      <w:rPr/>
    </w:lvl>
    <w:lvl w:ilvl="7">
      <w:start w:val="1"/>
      <w:numFmt w:val="decimal"/>
      <w:lvlText w:val="%8、"/>
      <w:lvlJc w:val="left"/>
      <w:pPr>
        <w:tabs>
          <w:tab w:val="num" w:pos="3841"/>
        </w:tabs>
        <w:ind w:left="3841" w:hanging="480"/>
      </w:pPr>
      <w:rPr/>
    </w:lvl>
    <w:lvl w:ilvl="8">
      <w:start w:val="1"/>
      <w:numFmt w:val="lowerRoman"/>
      <w:lvlText w:val="%9."/>
      <w:lvlJc w:val="right"/>
      <w:pPr>
        <w:tabs>
          <w:tab w:val="num" w:pos="4321"/>
        </w:tabs>
        <w:ind w:left="4321" w:hanging="480"/>
      </w:pPr>
      <w:rPr/>
    </w:lvl>
  </w:abstractNum>
  <w:abstractNum w:abstractNumId="2">
    <w:lvl w:ilvl="0">
      <w:start w:val="1"/>
      <w:numFmt w:val="decimal"/>
      <w:lvlText w:val="%1、"/>
      <w:lvlJc w:val="left"/>
      <w:pPr>
        <w:tabs>
          <w:tab w:val="num" w:pos="992"/>
        </w:tabs>
        <w:ind w:left="992" w:hanging="652"/>
      </w:pPr>
      <w:rPr/>
    </w:lvl>
    <w:lvl w:ilvl="1">
      <w:start w:val="1"/>
      <w:numFmt w:val="decimal"/>
      <w:lvlText w:val="(%2)"/>
      <w:lvlJc w:val="left"/>
      <w:pPr>
        <w:tabs>
          <w:tab w:val="num" w:pos="1610"/>
        </w:tabs>
        <w:ind w:left="1610" w:hanging="947"/>
      </w:pPr>
      <w:rPr/>
    </w:lvl>
    <w:lvl w:ilvl="2">
      <w:start w:val="1"/>
      <w:numFmt w:val="decimal"/>
      <w:lvlText w:val="%3、"/>
      <w:lvlJc w:val="left"/>
      <w:pPr>
        <w:tabs>
          <w:tab w:val="num" w:pos="1497"/>
        </w:tabs>
        <w:ind w:left="1497" w:hanging="471"/>
      </w:pPr>
      <w:rPr/>
    </w:lvl>
    <w:lvl w:ilvl="3">
      <w:start w:val="1"/>
      <w:numFmt w:val="decimal"/>
      <w:lvlText w:val="(%4)"/>
      <w:lvlJc w:val="left"/>
      <w:pPr>
        <w:tabs>
          <w:tab w:val="num" w:pos="2166"/>
        </w:tabs>
        <w:ind w:left="2166" w:hanging="794"/>
      </w:pPr>
      <w:rPr/>
    </w:lvl>
    <w:lvl w:ilvl="4">
      <w:start w:val="1"/>
      <w:numFmt w:val="decimal"/>
      <w:lvlText w:val="%5、"/>
      <w:lvlJc w:val="left"/>
      <w:pPr>
        <w:tabs>
          <w:tab w:val="num" w:pos="2657"/>
        </w:tabs>
        <w:ind w:left="2657" w:hanging="480"/>
      </w:pPr>
      <w:rPr>
        <w:dstrike w:val="false"/>
        <w:strike w:val="false"/>
        <w:sz w:val="28"/>
        <w:spacing w:val="0"/>
        <w:i w:val="false"/>
        <w:u w:val="none"/>
        <w:b w:val="false"/>
        <w:szCs w:val="28"/>
        <w:iCs w:val="false"/>
        <w:bCs w:val="false"/>
        <w:w w:val="100"/>
        <w:vanish w:val="false"/>
        <w:rFonts w:ascii="Calibri" w:hAnsi="Calibri" w:eastAsia="標楷體" w:cs="Calibri"/>
        <w:color w:val="000000"/>
      </w:rPr>
    </w:lvl>
    <w:lvl w:ilvl="5">
      <w:start w:val="1"/>
      <w:numFmt w:val="decimal"/>
      <w:lvlText w:val="(%6)"/>
      <w:lvlJc w:val="left"/>
      <w:pPr>
        <w:tabs>
          <w:tab w:val="num" w:pos="3458"/>
        </w:tabs>
        <w:ind w:left="3458" w:hanging="952"/>
      </w:pPr>
      <w:rPr/>
    </w:lvl>
    <w:lvl w:ilvl="6">
      <w:start w:val="1"/>
      <w:numFmt w:val="decimal"/>
      <w:lvlText w:val="%7、"/>
      <w:lvlJc w:val="left"/>
      <w:pPr>
        <w:tabs>
          <w:tab w:val="num" w:pos="4105"/>
        </w:tabs>
        <w:ind w:left="4105" w:hanging="647"/>
      </w:pPr>
      <w:rPr/>
    </w:lvl>
    <w:lvl w:ilvl="7">
      <w:start w:val="1"/>
      <w:numFmt w:val="decimal"/>
      <w:lvlText w:val="(%8)"/>
      <w:lvlJc w:val="left"/>
      <w:pPr>
        <w:tabs>
          <w:tab w:val="num" w:pos="4728"/>
        </w:tabs>
        <w:ind w:left="4728" w:hanging="952"/>
      </w:pPr>
      <w:rPr/>
    </w:lvl>
    <w:lvl w:ilvl="8">
      <w:start w:val="1"/>
      <w:numFmt w:val="decimal"/>
      <w:lvlText w:val="%9)"/>
      <w:lvlJc w:val="left"/>
      <w:pPr>
        <w:tabs>
          <w:tab w:val="num" w:pos="4615"/>
        </w:tabs>
        <w:ind w:left="4615" w:hanging="476"/>
      </w:pPr>
      <w:rPr/>
    </w:lvl>
  </w:abstractNum>
  <w:abstractNum w:abstractNumId="3">
    <w:lvl w:ilvl="0">
      <w:start w:val="1"/>
      <w:numFmt w:val="decimal"/>
      <w:lvlText w:val="%1、"/>
      <w:lvlJc w:val="left"/>
      <w:pPr>
        <w:tabs>
          <w:tab w:val="num" w:pos="720"/>
        </w:tabs>
        <w:ind w:left="720" w:hanging="720"/>
      </w:pPr>
      <w:rPr>
        <w:lang w:val="en-US"/>
      </w:rPr>
    </w:lvl>
    <w:lvl w:ilvl="1">
      <w:start w:val="1"/>
      <w:numFmt w:val="decimal"/>
      <w:lvlText w:val="(%2)"/>
      <w:lvlJc w:val="left"/>
      <w:pPr>
        <w:tabs>
          <w:tab w:val="num" w:pos="1200"/>
        </w:tabs>
        <w:ind w:left="1200" w:hanging="720"/>
      </w:pPr>
      <w:rPr>
        <w:lang w:val="en-US"/>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decim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decim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4">
    <w:lvl w:ilvl="0">
      <w:start w:val="1"/>
      <w:numFmt w:val="decimal"/>
      <w:lvlText w:val="%1、"/>
      <w:lvlJc w:val="left"/>
      <w:pPr>
        <w:tabs>
          <w:tab w:val="num" w:pos="1050"/>
        </w:tabs>
        <w:ind w:left="1050" w:hanging="510"/>
      </w:pPr>
      <w:rPr>
        <w:u w:val="none"/>
        <w:color w:val="000000"/>
      </w:rPr>
    </w:lvl>
    <w:lvl w:ilvl="1">
      <w:start w:val="1"/>
      <w:numFmt w:val="decimal"/>
      <w:lvlText w:val="%2、"/>
      <w:lvlJc w:val="left"/>
      <w:pPr>
        <w:tabs>
          <w:tab w:val="num" w:pos="1500"/>
        </w:tabs>
        <w:ind w:left="1500" w:hanging="480"/>
      </w:pPr>
      <w:rPr/>
    </w:lvl>
    <w:lvl w:ilvl="2">
      <w:start w:val="1"/>
      <w:numFmt w:val="lowerRoman"/>
      <w:lvlText w:val="%3."/>
      <w:lvlJc w:val="right"/>
      <w:pPr>
        <w:tabs>
          <w:tab w:val="num" w:pos="1980"/>
        </w:tabs>
        <w:ind w:left="1980" w:hanging="480"/>
      </w:pPr>
      <w:rPr/>
    </w:lvl>
    <w:lvl w:ilvl="3">
      <w:start w:val="1"/>
      <w:numFmt w:val="decimal"/>
      <w:lvlText w:val="%4."/>
      <w:lvlJc w:val="left"/>
      <w:pPr>
        <w:tabs>
          <w:tab w:val="num" w:pos="2460"/>
        </w:tabs>
        <w:ind w:left="2460" w:hanging="480"/>
      </w:pPr>
      <w:rPr/>
    </w:lvl>
    <w:lvl w:ilvl="4">
      <w:start w:val="1"/>
      <w:numFmt w:val="decimal"/>
      <w:lvlText w:val="%5、"/>
      <w:lvlJc w:val="left"/>
      <w:pPr>
        <w:tabs>
          <w:tab w:val="num" w:pos="2940"/>
        </w:tabs>
        <w:ind w:left="2940" w:hanging="480"/>
      </w:pPr>
      <w:rPr/>
    </w:lvl>
    <w:lvl w:ilvl="5">
      <w:start w:val="1"/>
      <w:numFmt w:val="lowerRoman"/>
      <w:lvlText w:val="%6."/>
      <w:lvlJc w:val="right"/>
      <w:pPr>
        <w:tabs>
          <w:tab w:val="num" w:pos="3420"/>
        </w:tabs>
        <w:ind w:left="3420" w:hanging="480"/>
      </w:pPr>
      <w:rPr/>
    </w:lvl>
    <w:lvl w:ilvl="6">
      <w:start w:val="1"/>
      <w:numFmt w:val="decimal"/>
      <w:lvlText w:val="%7."/>
      <w:lvlJc w:val="left"/>
      <w:pPr>
        <w:tabs>
          <w:tab w:val="num" w:pos="3900"/>
        </w:tabs>
        <w:ind w:left="3900" w:hanging="480"/>
      </w:pPr>
      <w:rPr/>
    </w:lvl>
    <w:lvl w:ilvl="7">
      <w:start w:val="1"/>
      <w:numFmt w:val="decimal"/>
      <w:lvlText w:val="%8、"/>
      <w:lvlJc w:val="left"/>
      <w:pPr>
        <w:tabs>
          <w:tab w:val="num" w:pos="4380"/>
        </w:tabs>
        <w:ind w:left="4380" w:hanging="480"/>
      </w:pPr>
      <w:rPr/>
    </w:lvl>
    <w:lvl w:ilvl="8">
      <w:start w:val="1"/>
      <w:numFmt w:val="lowerRoman"/>
      <w:lvlText w:val="%9."/>
      <w:lvlJc w:val="right"/>
      <w:pPr>
        <w:tabs>
          <w:tab w:val="num" w:pos="4860"/>
        </w:tabs>
        <w:ind w:left="4860" w:hanging="480"/>
      </w:pPr>
      <w:rPr/>
    </w:lvl>
  </w:abstractNum>
  <w:abstractNum w:abstractNumId="5">
    <w:lvl w:ilvl="0">
      <w:start w:val="1"/>
      <w:numFmt w:val="decimal"/>
      <w:lvlText w:val="%1、"/>
      <w:lvlJc w:val="left"/>
      <w:pPr>
        <w:tabs>
          <w:tab w:val="num" w:pos="1560"/>
        </w:tabs>
        <w:ind w:left="1560" w:hanging="720"/>
      </w:pPr>
      <w:rPr/>
    </w:lvl>
    <w:lvl w:ilvl="1">
      <w:start w:val="1"/>
      <w:numFmt w:val="decimal"/>
      <w:lvlText w:val="%2、"/>
      <w:lvlJc w:val="left"/>
      <w:pPr>
        <w:tabs>
          <w:tab w:val="num" w:pos="1800"/>
        </w:tabs>
        <w:ind w:left="1800" w:hanging="480"/>
      </w:pPr>
      <w:rPr/>
    </w:lvl>
    <w:lvl w:ilvl="2">
      <w:start w:val="1"/>
      <w:numFmt w:val="lowerRoman"/>
      <w:lvlText w:val="%3."/>
      <w:lvlJc w:val="right"/>
      <w:pPr>
        <w:tabs>
          <w:tab w:val="num" w:pos="2280"/>
        </w:tabs>
        <w:ind w:left="2280" w:hanging="480"/>
      </w:pPr>
      <w:rPr/>
    </w:lvl>
    <w:lvl w:ilvl="3">
      <w:start w:val="1"/>
      <w:numFmt w:val="decimal"/>
      <w:lvlText w:val="%4."/>
      <w:lvlJc w:val="left"/>
      <w:pPr>
        <w:tabs>
          <w:tab w:val="num" w:pos="2760"/>
        </w:tabs>
        <w:ind w:left="2760" w:hanging="480"/>
      </w:pPr>
      <w:rPr/>
    </w:lvl>
    <w:lvl w:ilvl="4">
      <w:start w:val="1"/>
      <w:numFmt w:val="decimal"/>
      <w:lvlText w:val="%5、"/>
      <w:lvlJc w:val="left"/>
      <w:pPr>
        <w:tabs>
          <w:tab w:val="num" w:pos="3240"/>
        </w:tabs>
        <w:ind w:left="3240" w:hanging="480"/>
      </w:pPr>
      <w:rPr/>
    </w:lvl>
    <w:lvl w:ilvl="5">
      <w:start w:val="1"/>
      <w:numFmt w:val="lowerRoman"/>
      <w:lvlText w:val="%6."/>
      <w:lvlJc w:val="right"/>
      <w:pPr>
        <w:tabs>
          <w:tab w:val="num" w:pos="3720"/>
        </w:tabs>
        <w:ind w:left="3720" w:hanging="480"/>
      </w:pPr>
      <w:rPr/>
    </w:lvl>
    <w:lvl w:ilvl="6">
      <w:start w:val="1"/>
      <w:numFmt w:val="decimal"/>
      <w:lvlText w:val="%7."/>
      <w:lvlJc w:val="left"/>
      <w:pPr>
        <w:tabs>
          <w:tab w:val="num" w:pos="4200"/>
        </w:tabs>
        <w:ind w:left="4200" w:hanging="480"/>
      </w:pPr>
      <w:rPr/>
    </w:lvl>
    <w:lvl w:ilvl="7">
      <w:start w:val="1"/>
      <w:numFmt w:val="decimal"/>
      <w:lvlText w:val="%8、"/>
      <w:lvlJc w:val="left"/>
      <w:pPr>
        <w:tabs>
          <w:tab w:val="num" w:pos="4680"/>
        </w:tabs>
        <w:ind w:left="4680" w:hanging="480"/>
      </w:pPr>
      <w:rPr/>
    </w:lvl>
    <w:lvl w:ilvl="8">
      <w:start w:val="1"/>
      <w:numFmt w:val="lowerRoman"/>
      <w:lvlText w:val="%9."/>
      <w:lvlJc w:val="right"/>
      <w:pPr>
        <w:tabs>
          <w:tab w:val="num" w:pos="5160"/>
        </w:tabs>
        <w:ind w:left="5160" w:hanging="480"/>
      </w:pPr>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sz w:val="20"/>
        <w:lang w:val="zh-TW" w:eastAsia="zh-TW" w:bidi="zh-TW"/>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 w:cs="Times New Roman"/>
      <w:color w:val="auto"/>
      <w:sz w:val="24"/>
      <w:szCs w:val="24"/>
      <w:lang w:val="en-US" w:eastAsia="zh-TW" w:bidi="zh-TW"/>
    </w:rPr>
  </w:style>
  <w:style w:type="character" w:styleId="DefaultParagraphFont">
    <w:name w:val="Default Paragraph Font"/>
    <w:qFormat/>
    <w:rPr/>
  </w:style>
  <w:style w:type="character" w:styleId="List2Level4">
    <w:name w:val="List2Level4"/>
    <w:qFormat/>
    <w:rPr>
      <w:rFonts w:ascii="Calibri" w:hAnsi="Calibri" w:eastAsia="標楷體" w:cs="Calibri"/>
      <w:b w:val="false"/>
      <w:bCs w:val="false"/>
      <w:i w:val="false"/>
      <w:iCs w:val="false"/>
      <w:strike w:val="false"/>
      <w:dstrike w:val="false"/>
      <w:vanish w:val="false"/>
      <w:color w:val="000000"/>
      <w:spacing w:val="0"/>
      <w:w w:val="100"/>
      <w:sz w:val="28"/>
      <w:szCs w:val="28"/>
      <w:u w:val="none"/>
    </w:rPr>
  </w:style>
  <w:style w:type="character" w:styleId="List3Level0">
    <w:name w:val="List3Level0"/>
    <w:qFormat/>
    <w:rPr>
      <w:rFonts w:ascii="標楷體" w:hAnsi="標楷體" w:eastAsia="標楷體" w:cs="Times New Roman"/>
      <w:lang w:val="en-US"/>
    </w:rPr>
  </w:style>
  <w:style w:type="character" w:styleId="List4Level4">
    <w:name w:val="List4Level4"/>
    <w:qFormat/>
    <w:rPr>
      <w:rFonts w:ascii="Calibri" w:hAnsi="Calibri" w:eastAsia="標楷體" w:cs="Calibri"/>
      <w:b w:val="false"/>
      <w:bCs w:val="false"/>
      <w:i w:val="false"/>
      <w:iCs w:val="false"/>
      <w:strike w:val="false"/>
      <w:dstrike w:val="false"/>
      <w:vanish w:val="false"/>
      <w:color w:val="000000"/>
      <w:spacing w:val="0"/>
      <w:w w:val="100"/>
      <w:sz w:val="28"/>
      <w:szCs w:val="28"/>
      <w:u w:val="none"/>
    </w:rPr>
  </w:style>
  <w:style w:type="character" w:styleId="List5Level0">
    <w:name w:val="List5Level0"/>
    <w:qFormat/>
    <w:rPr>
      <w:rFonts w:ascii="標楷體" w:hAnsi="標楷體" w:eastAsia="新細明體" w:cs="Times New Roman"/>
    </w:rPr>
  </w:style>
  <w:style w:type="character" w:styleId="List5Level1">
    <w:name w:val="List5Level1"/>
    <w:qFormat/>
    <w:rPr>
      <w:u w:val="none"/>
    </w:rPr>
  </w:style>
  <w:style w:type="character" w:styleId="List6Level0">
    <w:name w:val="List6Level0"/>
    <w:qFormat/>
    <w:rPr>
      <w:rFonts w:ascii="Calibri" w:hAnsi="Calibri" w:eastAsia="標楷體" w:cs="Calibri"/>
      <w:b w:val="false"/>
      <w:bCs w:val="false"/>
      <w:i w:val="false"/>
      <w:iCs w:val="false"/>
      <w:strike w:val="false"/>
      <w:dstrike w:val="false"/>
      <w:vanish w:val="false"/>
      <w:color w:val="000000"/>
      <w:spacing w:val="0"/>
      <w:w w:val="100"/>
      <w:sz w:val="28"/>
      <w:szCs w:val="28"/>
      <w:u w:val="none"/>
      <w:lang w:val="en-US"/>
    </w:rPr>
  </w:style>
  <w:style w:type="character" w:styleId="List7Level0">
    <w:name w:val="List7Level0"/>
    <w:qFormat/>
    <w:rPr>
      <w:lang w:val="en-US"/>
    </w:rPr>
  </w:style>
  <w:style w:type="character" w:styleId="List7Level1">
    <w:name w:val="List7Level1"/>
    <w:qFormat/>
    <w:rPr>
      <w:lang w:val="en-US"/>
    </w:rPr>
  </w:style>
  <w:style w:type="character" w:styleId="List8Level0">
    <w:name w:val="List8Level0"/>
    <w:qFormat/>
    <w:rPr>
      <w:color w:val="000000"/>
      <w:u w:val="none"/>
    </w:rPr>
  </w:style>
  <w:style w:type="character" w:styleId="List1Level0">
    <w:name w:val="List1Level0"/>
    <w:qFormat/>
    <w:rPr/>
  </w:style>
  <w:style w:type="character" w:styleId="List1Level1">
    <w:name w:val="List1Level1"/>
    <w:qFormat/>
    <w:rPr/>
  </w:style>
  <w:style w:type="character" w:styleId="List1Level2">
    <w:name w:val="List1Level2"/>
    <w:qFormat/>
    <w:rPr/>
  </w:style>
  <w:style w:type="character" w:styleId="List1Level3">
    <w:name w:val="List1Level3"/>
    <w:qFormat/>
    <w:rPr/>
  </w:style>
  <w:style w:type="character" w:styleId="List1Level4">
    <w:name w:val="List1Level4"/>
    <w:qFormat/>
    <w:rPr/>
  </w:style>
  <w:style w:type="character" w:styleId="List1Level5">
    <w:name w:val="List1Level5"/>
    <w:qFormat/>
    <w:rPr/>
  </w:style>
  <w:style w:type="character" w:styleId="List1Level6">
    <w:name w:val="List1Level6"/>
    <w:qFormat/>
    <w:rPr/>
  </w:style>
  <w:style w:type="character" w:styleId="List1Level7">
    <w:name w:val="List1Level7"/>
    <w:qFormat/>
    <w:rPr/>
  </w:style>
  <w:style w:type="character" w:styleId="List1Level8">
    <w:name w:val="List1Level8"/>
    <w:qFormat/>
    <w:rPr/>
  </w:style>
  <w:style w:type="character" w:styleId="List2Level0">
    <w:name w:val="List2Level0"/>
    <w:qFormat/>
    <w:rPr/>
  </w:style>
  <w:style w:type="character" w:styleId="List2Level1">
    <w:name w:val="List2Level1"/>
    <w:qFormat/>
    <w:rPr/>
  </w:style>
  <w:style w:type="character" w:styleId="List2Level2">
    <w:name w:val="List2Level2"/>
    <w:qFormat/>
    <w:rPr/>
  </w:style>
  <w:style w:type="character" w:styleId="List2Level3">
    <w:name w:val="List2Level3"/>
    <w:qFormat/>
    <w:rPr/>
  </w:style>
  <w:style w:type="character" w:styleId="List2Level5">
    <w:name w:val="List2Level5"/>
    <w:qFormat/>
    <w:rPr/>
  </w:style>
  <w:style w:type="character" w:styleId="List2Level6">
    <w:name w:val="List2Level6"/>
    <w:qFormat/>
    <w:rPr/>
  </w:style>
  <w:style w:type="character" w:styleId="List2Level7">
    <w:name w:val="List2Level7"/>
    <w:qFormat/>
    <w:rPr/>
  </w:style>
  <w:style w:type="character" w:styleId="List2Level8">
    <w:name w:val="List2Level8"/>
    <w:qFormat/>
    <w:rPr/>
  </w:style>
  <w:style w:type="character" w:styleId="List3Level1">
    <w:name w:val="List3Level1"/>
    <w:qFormat/>
    <w:rPr/>
  </w:style>
  <w:style w:type="character" w:styleId="List3Level2">
    <w:name w:val="List3Level2"/>
    <w:qFormat/>
    <w:rPr/>
  </w:style>
  <w:style w:type="character" w:styleId="List3Level3">
    <w:name w:val="List3Level3"/>
    <w:qFormat/>
    <w:rPr/>
  </w:style>
  <w:style w:type="character" w:styleId="List3Level4">
    <w:name w:val="List3Level4"/>
    <w:qFormat/>
    <w:rPr/>
  </w:style>
  <w:style w:type="character" w:styleId="List3Level5">
    <w:name w:val="List3Level5"/>
    <w:qFormat/>
    <w:rPr/>
  </w:style>
  <w:style w:type="character" w:styleId="List3Level6">
    <w:name w:val="List3Level6"/>
    <w:qFormat/>
    <w:rPr/>
  </w:style>
  <w:style w:type="character" w:styleId="List3Level7">
    <w:name w:val="List3Level7"/>
    <w:qFormat/>
    <w:rPr/>
  </w:style>
  <w:style w:type="character" w:styleId="List3Level8">
    <w:name w:val="List3Level8"/>
    <w:qFormat/>
    <w:rPr/>
  </w:style>
  <w:style w:type="character" w:styleId="List4Level0">
    <w:name w:val="List4Level0"/>
    <w:qFormat/>
    <w:rPr/>
  </w:style>
  <w:style w:type="character" w:styleId="List4Level1">
    <w:name w:val="List4Level1"/>
    <w:qFormat/>
    <w:rPr/>
  </w:style>
  <w:style w:type="character" w:styleId="List4Level2">
    <w:name w:val="List4Level2"/>
    <w:qFormat/>
    <w:rPr/>
  </w:style>
  <w:style w:type="character" w:styleId="List4Level3">
    <w:name w:val="List4Level3"/>
    <w:qFormat/>
    <w:rPr/>
  </w:style>
  <w:style w:type="character" w:styleId="List4Level5">
    <w:name w:val="List4Level5"/>
    <w:qFormat/>
    <w:rPr/>
  </w:style>
  <w:style w:type="character" w:styleId="List4Level6">
    <w:name w:val="List4Level6"/>
    <w:qFormat/>
    <w:rPr/>
  </w:style>
  <w:style w:type="character" w:styleId="List4Level7">
    <w:name w:val="List4Level7"/>
    <w:qFormat/>
    <w:rPr/>
  </w:style>
  <w:style w:type="character" w:styleId="List4Level8">
    <w:name w:val="List4Level8"/>
    <w:qFormat/>
    <w:rPr/>
  </w:style>
  <w:style w:type="character" w:styleId="List5Level2">
    <w:name w:val="List5Level2"/>
    <w:qFormat/>
    <w:rPr/>
  </w:style>
  <w:style w:type="character" w:styleId="List5Level3">
    <w:name w:val="List5Level3"/>
    <w:qFormat/>
    <w:rPr/>
  </w:style>
  <w:style w:type="character" w:styleId="List5Level4">
    <w:name w:val="List5Level4"/>
    <w:qFormat/>
    <w:rPr/>
  </w:style>
  <w:style w:type="character" w:styleId="List5Level5">
    <w:name w:val="List5Level5"/>
    <w:qFormat/>
    <w:rPr/>
  </w:style>
  <w:style w:type="character" w:styleId="List5Level6">
    <w:name w:val="List5Level6"/>
    <w:qFormat/>
    <w:rPr/>
  </w:style>
  <w:style w:type="character" w:styleId="List5Level7">
    <w:name w:val="List5Level7"/>
    <w:qFormat/>
    <w:rPr/>
  </w:style>
  <w:style w:type="character" w:styleId="List5Level8">
    <w:name w:val="List5Level8"/>
    <w:qFormat/>
    <w:rPr/>
  </w:style>
  <w:style w:type="character" w:styleId="List6Level1">
    <w:name w:val="List6Level1"/>
    <w:qFormat/>
    <w:rPr/>
  </w:style>
  <w:style w:type="character" w:styleId="List6Level2">
    <w:name w:val="List6Level2"/>
    <w:qFormat/>
    <w:rPr/>
  </w:style>
  <w:style w:type="character" w:styleId="List6Level3">
    <w:name w:val="List6Level3"/>
    <w:qFormat/>
    <w:rPr/>
  </w:style>
  <w:style w:type="character" w:styleId="List6Level4">
    <w:name w:val="List6Level4"/>
    <w:qFormat/>
    <w:rPr/>
  </w:style>
  <w:style w:type="character" w:styleId="List6Level5">
    <w:name w:val="List6Level5"/>
    <w:qFormat/>
    <w:rPr/>
  </w:style>
  <w:style w:type="character" w:styleId="List6Level6">
    <w:name w:val="List6Level6"/>
    <w:qFormat/>
    <w:rPr/>
  </w:style>
  <w:style w:type="character" w:styleId="List6Level7">
    <w:name w:val="List6Level7"/>
    <w:qFormat/>
    <w:rPr/>
  </w:style>
  <w:style w:type="character" w:styleId="List6Level8">
    <w:name w:val="List6Level8"/>
    <w:qFormat/>
    <w:rPr/>
  </w:style>
  <w:style w:type="character" w:styleId="List7Level2">
    <w:name w:val="List7Level2"/>
    <w:qFormat/>
    <w:rPr/>
  </w:style>
  <w:style w:type="character" w:styleId="List7Level3">
    <w:name w:val="List7Level3"/>
    <w:qFormat/>
    <w:rPr/>
  </w:style>
  <w:style w:type="character" w:styleId="List7Level4">
    <w:name w:val="List7Level4"/>
    <w:qFormat/>
    <w:rPr/>
  </w:style>
  <w:style w:type="character" w:styleId="List7Level5">
    <w:name w:val="List7Level5"/>
    <w:qFormat/>
    <w:rPr/>
  </w:style>
  <w:style w:type="character" w:styleId="List7Level6">
    <w:name w:val="List7Level6"/>
    <w:qFormat/>
    <w:rPr/>
  </w:style>
  <w:style w:type="character" w:styleId="List7Level7">
    <w:name w:val="List7Level7"/>
    <w:qFormat/>
    <w:rPr/>
  </w:style>
  <w:style w:type="character" w:styleId="List7Level8">
    <w:name w:val="List7Level8"/>
    <w:qFormat/>
    <w:rPr/>
  </w:style>
  <w:style w:type="character" w:styleId="List8Level1">
    <w:name w:val="List8Level1"/>
    <w:qFormat/>
    <w:rPr/>
  </w:style>
  <w:style w:type="character" w:styleId="List8Level2">
    <w:name w:val="List8Level2"/>
    <w:qFormat/>
    <w:rPr/>
  </w:style>
  <w:style w:type="character" w:styleId="List8Level3">
    <w:name w:val="List8Level3"/>
    <w:qFormat/>
    <w:rPr/>
  </w:style>
  <w:style w:type="character" w:styleId="List8Level4">
    <w:name w:val="List8Level4"/>
    <w:qFormat/>
    <w:rPr/>
  </w:style>
  <w:style w:type="character" w:styleId="List8Level5">
    <w:name w:val="List8Level5"/>
    <w:qFormat/>
    <w:rPr/>
  </w:style>
  <w:style w:type="character" w:styleId="List8Level6">
    <w:name w:val="List8Level6"/>
    <w:qFormat/>
    <w:rPr/>
  </w:style>
  <w:style w:type="character" w:styleId="List8Level7">
    <w:name w:val="List8Level7"/>
    <w:qFormat/>
    <w:rPr/>
  </w:style>
  <w:style w:type="character" w:styleId="List8Level8">
    <w:name w:val="List8Level8"/>
    <w:qFormat/>
    <w:rPr/>
  </w:style>
  <w:style w:type="character" w:styleId="List9Level0">
    <w:name w:val="List9Level0"/>
    <w:qFormat/>
    <w:rPr/>
  </w:style>
  <w:style w:type="character" w:styleId="List9Level1">
    <w:name w:val="List9Level1"/>
    <w:qFormat/>
    <w:rPr/>
  </w:style>
  <w:style w:type="character" w:styleId="List9Level2">
    <w:name w:val="List9Level2"/>
    <w:qFormat/>
    <w:rPr/>
  </w:style>
  <w:style w:type="character" w:styleId="List9Level3">
    <w:name w:val="List9Level3"/>
    <w:qFormat/>
    <w:rPr/>
  </w:style>
  <w:style w:type="character" w:styleId="List9Level4">
    <w:name w:val="List9Level4"/>
    <w:qFormat/>
    <w:rPr/>
  </w:style>
  <w:style w:type="character" w:styleId="List9Level5">
    <w:name w:val="List9Level5"/>
    <w:qFormat/>
    <w:rPr/>
  </w:style>
  <w:style w:type="character" w:styleId="List9Level6">
    <w:name w:val="List9Level6"/>
    <w:qFormat/>
    <w:rPr/>
  </w:style>
  <w:style w:type="character" w:styleId="List9Level7">
    <w:name w:val="List9Level7"/>
    <w:qFormat/>
    <w:rPr/>
  </w:style>
  <w:style w:type="character" w:styleId="List9Level8">
    <w:name w:val="List9Level8"/>
    <w:qFormat/>
    <w:rPr/>
  </w:style>
  <w:style w:type="character" w:styleId="List10Level0">
    <w:name w:val="List10Level0"/>
    <w:qFormat/>
    <w:rPr/>
  </w:style>
  <w:style w:type="character" w:styleId="List10Level1">
    <w:name w:val="List10Level1"/>
    <w:qFormat/>
    <w:rPr/>
  </w:style>
  <w:style w:type="character" w:styleId="List10Level2">
    <w:name w:val="List10Level2"/>
    <w:qFormat/>
    <w:rPr/>
  </w:style>
  <w:style w:type="character" w:styleId="List10Level3">
    <w:name w:val="List10Level3"/>
    <w:qFormat/>
    <w:rPr/>
  </w:style>
  <w:style w:type="character" w:styleId="List10Level4">
    <w:name w:val="List10Level4"/>
    <w:qFormat/>
    <w:rPr/>
  </w:style>
  <w:style w:type="character" w:styleId="List10Level5">
    <w:name w:val="List10Level5"/>
    <w:qFormat/>
    <w:rPr/>
  </w:style>
  <w:style w:type="character" w:styleId="List10Level6">
    <w:name w:val="List10Level6"/>
    <w:qFormat/>
    <w:rPr/>
  </w:style>
  <w:style w:type="character" w:styleId="List10Level7">
    <w:name w:val="List10Level7"/>
    <w:qFormat/>
    <w:rPr/>
  </w:style>
  <w:style w:type="character" w:styleId="List10Level8">
    <w:name w:val="List10Level8"/>
    <w:qFormat/>
    <w:rPr/>
  </w:style>
  <w:style w:type="character" w:styleId="List11Level0">
    <w:name w:val="List11Level0"/>
    <w:qFormat/>
    <w:rPr/>
  </w:style>
  <w:style w:type="character" w:styleId="List11Level1">
    <w:name w:val="List11Level1"/>
    <w:qFormat/>
    <w:rPr/>
  </w:style>
  <w:style w:type="character" w:styleId="List11Level2">
    <w:name w:val="List11Level2"/>
    <w:qFormat/>
    <w:rPr/>
  </w:style>
  <w:style w:type="character" w:styleId="List11Level3">
    <w:name w:val="List11Level3"/>
    <w:qFormat/>
    <w:rPr/>
  </w:style>
  <w:style w:type="character" w:styleId="List11Level4">
    <w:name w:val="List11Level4"/>
    <w:qFormat/>
    <w:rPr/>
  </w:style>
  <w:style w:type="character" w:styleId="List11Level5">
    <w:name w:val="List11Level5"/>
    <w:qFormat/>
    <w:rPr/>
  </w:style>
  <w:style w:type="character" w:styleId="List11Level6">
    <w:name w:val="List11Level6"/>
    <w:qFormat/>
    <w:rPr/>
  </w:style>
  <w:style w:type="character" w:styleId="List11Level7">
    <w:name w:val="List11Level7"/>
    <w:qFormat/>
    <w:rPr/>
  </w:style>
  <w:style w:type="character" w:styleId="List11Level8">
    <w:name w:val="List11Level8"/>
    <w:qFormat/>
    <w:rPr/>
  </w:style>
  <w:style w:type="character" w:styleId="Style14">
    <w:name w:val="註腳字元"/>
    <w:qFormat/>
    <w:rPr/>
  </w:style>
  <w:style w:type="character" w:styleId="Style15">
    <w:name w:val="註腳錨定"/>
    <w:rPr>
      <w:vertAlign w:val="superscript"/>
    </w:rPr>
  </w:style>
  <w:style w:type="paragraph" w:styleId="NoList">
    <w:name w:val="No List"/>
    <w:qFormat/>
    <w:pPr>
      <w:widowControl w:val="false"/>
      <w:kinsoku w:val="true"/>
      <w:overflowPunct w:val="true"/>
      <w:autoSpaceDE w:val="true"/>
      <w:bidi w:val="0"/>
    </w:pPr>
    <w:rPr>
      <w:rFonts w:ascii="Times New Roman" w:hAnsi="Times New Roman" w:eastAsia="新細明體" w:cs="Times New Roman"/>
      <w:color w:val="auto"/>
      <w:sz w:val="20"/>
      <w:szCs w:val="20"/>
      <w:lang w:val="zh-TW" w:eastAsia="zh-TW" w:bidi="zh-TW"/>
    </w:rPr>
  </w:style>
  <w:style w:type="paragraph" w:styleId="Style16">
    <w:name w:val="說明條列"/>
    <w:basedOn w:val="Normal"/>
    <w:qFormat/>
    <w:pPr>
      <w:widowControl/>
    </w:pPr>
    <w:rPr>
      <w:rFonts w:eastAsia="標楷體"/>
      <w:sz w:val="32"/>
      <w:szCs w:val="32"/>
    </w:rPr>
  </w:style>
  <w:style w:type="paragraph" w:styleId="Style17">
    <w:name w:val="表格內容"/>
    <w:basedOn w:val="Normal"/>
    <w:qFormat/>
    <w:pPr>
      <w:suppressLineNumbers/>
    </w:pPr>
    <w:rPr/>
  </w:style>
  <w:style w:type="paragraph" w:styleId="Style18">
    <w:name w:val="外框內容"/>
    <w:basedOn w:val="Normal"/>
    <w:qFormat/>
    <w:pPr/>
    <w:rPr/>
  </w:style>
  <w:style w:type="numbering" w:styleId="LS1">
    <w:name w:val="LS1"/>
    <w:qFormat/>
  </w:style>
  <w:style w:type="numbering" w:styleId="LS2">
    <w:name w:val="LS2"/>
    <w:qFormat/>
  </w:style>
  <w:style w:type="numbering" w:styleId="LS3">
    <w:name w:val="LS3"/>
    <w:qFormat/>
  </w:style>
  <w:style w:type="numbering" w:styleId="LS4">
    <w:name w:val="LS4"/>
    <w:qFormat/>
  </w:style>
  <w:style w:type="numbering" w:styleId="LS5">
    <w:name w:val="LS5"/>
    <w:qFormat/>
  </w:style>
  <w:style w:type="numbering" w:styleId="LS6">
    <w:name w:val="LS6"/>
    <w:qFormat/>
  </w:style>
  <w:style w:type="numbering" w:styleId="LS7">
    <w:name w:val="LS7"/>
    <w:qFormat/>
  </w:style>
  <w:style w:type="numbering" w:styleId="LS8">
    <w:name w:val="LS8"/>
    <w:qFormat/>
  </w:style>
  <w:style w:type="numbering" w:styleId="LS9">
    <w:name w:val="LS9"/>
    <w:qFormat/>
  </w:style>
  <w:style w:type="numbering" w:styleId="LS10">
    <w:name w:val="LS10"/>
    <w:qFormat/>
  </w:style>
  <w:style w:type="numbering" w:styleId="LS11">
    <w:name w:val="LS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NDC_ODF_Application_Tools/2.0.3$Windows_x86 LibreOffice_project/54cf7324c4a2efdf36c5efbb1fcbec2120c1d70e</Application>
  <Pages>9</Pages>
  <Words>4038</Words>
  <CharactersWithSpaces>4250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2012-06-26T06:40:00Z</dcterms:created>
  <dc:creator>moi</dc:creator>
  <dc:description/>
  <dc:language>zh-TW</dc:language>
  <cp:lastModifiedBy>moi</cp:lastModifiedBy>
  <cp:lastPrinted>2012-06-27T02:02:00Z</cp:lastPrinted>
  <dcterms:modified xsi:type="dcterms:W3CDTF">2012-06-27T06:40:00Z</dcterms:modified>
  <cp:revision>7</cp:revision>
  <dc:subject/>
  <dc:title>生前殯葬服務預收費用信託定型化契約範本</dc:title>
</cp:coreProperties>
</file>