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00"/>
        <w:jc w:val="center"/>
        <w:rPr/>
      </w:pPr>
      <w:r>
        <w:rPr>
          <w:rFonts w:ascii="標楷體" w:hAnsi="標楷體"/>
          <w:color w:val="000000"/>
          <w:sz w:val="32"/>
          <w:szCs w:val="32"/>
        </w:rPr>
        <w:t>骨灰（骸）存放單位使用權買賣</w:t>
      </w:r>
      <w:r>
        <w:rPr>
          <w:rFonts w:ascii="標楷體" w:hAnsi="標楷體"/>
          <w:b/>
          <w:bCs/>
          <w:color w:val="000000"/>
          <w:sz w:val="32"/>
          <w:szCs w:val="32"/>
        </w:rPr>
        <w:t>定型化契約</w:t>
      </w:r>
    </w:p>
    <w:p>
      <w:pPr>
        <w:pStyle w:val="Normal"/>
        <w:spacing w:lineRule="exact" w:line="500"/>
        <w:jc w:val="center"/>
        <w:rPr>
          <w:rFonts w:ascii="標楷體" w:hAnsi="標楷體"/>
          <w:b/>
          <w:b/>
          <w:bCs/>
          <w:color w:val="000000"/>
          <w:sz w:val="32"/>
          <w:szCs w:val="32"/>
        </w:rPr>
      </w:pPr>
      <w:r>
        <w:rPr>
          <w:rFonts w:ascii="標楷體" w:hAnsi="標楷體"/>
          <w:b/>
          <w:bCs/>
          <w:color w:val="000000"/>
          <w:sz w:val="32"/>
          <w:szCs w:val="32"/>
        </w:rPr>
        <w:t>應記載及不得記載事項</w:t>
      </w:r>
    </w:p>
    <w:p>
      <w:pPr>
        <w:pStyle w:val="Normal"/>
        <w:spacing w:lineRule="exact" w:line="500"/>
        <w:rPr>
          <w:rFonts w:ascii="標楷體" w:hAnsi="標楷體"/>
          <w:b/>
          <w:sz w:val="32"/>
          <w:szCs w:val="32"/>
        </w:rPr>
      </w:pPr>
      <w:r>
        <w:rPr>
          <w:rFonts w:ascii="標楷體" w:hAnsi="標楷體"/>
          <w:b/>
          <w:sz w:val="32"/>
          <w:szCs w:val="32"/>
        </w:rPr>
        <w:t xml:space="preserve">                                      </w:t>
      </w:r>
    </w:p>
    <w:p>
      <w:pPr>
        <w:pStyle w:val="Normal"/>
        <w:rPr/>
      </w:pPr>
      <w:r>
        <w:rPr>
          <w:rFonts w:ascii="標楷體" w:hAnsi="標楷體"/>
          <w:b/>
          <w:sz w:val="32"/>
          <w:szCs w:val="32"/>
        </w:rPr>
        <w:t xml:space="preserve">                                </w:t>
      </w:r>
      <w:r>
        <w:rPr>
          <w:color w:val="000000"/>
          <w:sz w:val="24"/>
          <w:szCs w:val="24"/>
        </w:rPr>
        <w:t>中華民國</w:t>
      </w:r>
      <w:r>
        <w:rPr>
          <w:color w:val="000000"/>
          <w:szCs w:val="24"/>
        </w:rPr>
        <w:t>101</w:t>
      </w:r>
      <w:r>
        <w:rPr>
          <w:color w:val="000000"/>
          <w:sz w:val="24"/>
          <w:szCs w:val="24"/>
        </w:rPr>
        <w:t>年</w:t>
      </w:r>
      <w:r>
        <w:rPr>
          <w:color w:val="000000"/>
          <w:szCs w:val="24"/>
        </w:rPr>
        <w:t>10</w:t>
      </w:r>
      <w:r>
        <w:rPr>
          <w:color w:val="000000"/>
          <w:sz w:val="24"/>
          <w:szCs w:val="24"/>
        </w:rPr>
        <w:t>月</w:t>
      </w:r>
      <w:r>
        <w:rPr>
          <w:color w:val="000000"/>
          <w:szCs w:val="24"/>
        </w:rPr>
        <w:t>11</w:t>
      </w:r>
      <w:r>
        <w:rPr>
          <w:color w:val="000000"/>
          <w:sz w:val="24"/>
          <w:szCs w:val="24"/>
        </w:rPr>
        <w:t>日</w:t>
      </w:r>
      <w:r>
        <w:rPr>
          <w:color w:val="000000"/>
        </w:rPr>
        <w:t>台內民字</w:t>
      </w:r>
      <w:r>
        <w:rPr>
          <w:color w:val="000000"/>
          <w:sz w:val="24"/>
          <w:szCs w:val="24"/>
        </w:rPr>
        <w:t xml:space="preserve">    </w:t>
      </w:r>
    </w:p>
    <w:p>
      <w:pPr>
        <w:pStyle w:val="Normal"/>
        <w:rPr/>
      </w:pPr>
      <w:r>
        <w:rPr>
          <w:color w:val="000000"/>
          <w:szCs w:val="24"/>
        </w:rPr>
        <w:t xml:space="preserve">                                             </w:t>
      </w:r>
      <w:r>
        <w:rPr>
          <w:color w:val="000000"/>
        </w:rPr>
        <w:t>第</w:t>
      </w:r>
      <w:r>
        <w:rPr>
          <w:rFonts w:eastAsia="DFKaiShu-SB-Estd-BF"/>
          <w:szCs w:val="24"/>
        </w:rPr>
        <w:t>1010312813</w:t>
      </w:r>
      <w:r>
        <w:rPr>
          <w:color w:val="000000"/>
          <w:sz w:val="24"/>
          <w:szCs w:val="24"/>
        </w:rPr>
        <w:t>號令發布</w:t>
      </w:r>
    </w:p>
    <w:p>
      <w:pPr>
        <w:pStyle w:val="Normal"/>
        <w:rPr/>
      </w:pPr>
      <w:r>
        <w:rPr>
          <w:rFonts w:ascii="標楷體" w:hAnsi="標楷體"/>
          <w:b/>
          <w:sz w:val="32"/>
          <w:szCs w:val="32"/>
        </w:rPr>
        <w:t xml:space="preserve">                                </w:t>
      </w:r>
      <w:r>
        <w:rPr>
          <w:sz w:val="24"/>
          <w:szCs w:val="24"/>
        </w:rPr>
        <w:t>中華民國</w:t>
      </w:r>
      <w:r>
        <w:rPr>
          <w:szCs w:val="24"/>
        </w:rPr>
        <w:t>102</w:t>
      </w:r>
      <w:r>
        <w:rPr>
          <w:sz w:val="24"/>
          <w:szCs w:val="24"/>
        </w:rPr>
        <w:t>年</w:t>
      </w:r>
      <w:r>
        <w:rPr>
          <w:szCs w:val="24"/>
        </w:rPr>
        <w:t>4</w:t>
      </w:r>
      <w:r>
        <w:rPr>
          <w:sz w:val="24"/>
          <w:szCs w:val="24"/>
        </w:rPr>
        <w:t>月</w:t>
      </w:r>
      <w:r>
        <w:rPr>
          <w:szCs w:val="24"/>
        </w:rPr>
        <w:t>1</w:t>
      </w:r>
      <w:r>
        <w:rPr>
          <w:sz w:val="24"/>
          <w:szCs w:val="24"/>
        </w:rPr>
        <w:t>日生效</w:t>
      </w:r>
    </w:p>
    <w:p>
      <w:pPr>
        <w:pStyle w:val="Normal"/>
        <w:rPr>
          <w:sz w:val="24"/>
          <w:szCs w:val="24"/>
        </w:rPr>
      </w:pPr>
      <w:r>
        <w:rPr>
          <w:szCs w:val="24"/>
        </w:rPr>
      </w:r>
    </w:p>
    <w:p>
      <w:pPr>
        <w:pStyle w:val="Normal"/>
        <w:rPr>
          <w:sz w:val="24"/>
          <w:szCs w:val="24"/>
        </w:rPr>
      </w:pPr>
      <w:r>
        <w:rPr>
          <w:szCs w:val="24"/>
        </w:rPr>
      </w:r>
    </w:p>
    <w:p>
      <w:pPr>
        <w:pStyle w:val="Normal"/>
        <w:numPr>
          <w:ilvl w:val="0"/>
          <w:numId w:val="2"/>
        </w:numPr>
        <w:tabs>
          <w:tab w:val="clear" w:pos="480"/>
          <w:tab w:val="left" w:pos="720" w:leader="none"/>
        </w:tabs>
        <w:spacing w:lineRule="exact" w:line="500"/>
        <w:ind w:left="720" w:hanging="720"/>
        <w:rPr/>
      </w:pPr>
      <w:r>
        <w:rPr>
          <w:rFonts w:ascii="標楷體" w:hAnsi="標楷體"/>
          <w:color w:val="000000"/>
          <w:sz w:val="32"/>
          <w:szCs w:val="32"/>
        </w:rPr>
        <w:t>骨灰（骸）存放單位使用權買賣</w:t>
      </w:r>
      <w:r>
        <w:rPr>
          <w:rFonts w:ascii="標楷體" w:hAnsi="標楷體"/>
          <w:b/>
          <w:bCs/>
          <w:color w:val="000000"/>
          <w:sz w:val="32"/>
          <w:szCs w:val="32"/>
        </w:rPr>
        <w:t>定型化契約應記載事項</w:t>
      </w:r>
    </w:p>
    <w:p>
      <w:pPr>
        <w:pStyle w:val="Normal"/>
        <w:spacing w:lineRule="exact" w:line="500"/>
        <w:jc w:val="distribute"/>
        <w:rPr>
          <w:rFonts w:ascii="標楷體" w:hAnsi="標楷體"/>
          <w:b/>
          <w:sz w:val="28"/>
          <w:szCs w:val="28"/>
        </w:rPr>
      </w:pPr>
      <w:r>
        <w:rPr>
          <w:rFonts w:ascii="標楷體" w:hAnsi="標楷體"/>
          <w:b/>
          <w:sz w:val="28"/>
          <w:szCs w:val="28"/>
        </w:rPr>
        <w:t xml:space="preserve">  </w:t>
      </w:r>
      <w:r>
        <w:rPr>
          <w:rFonts w:ascii="標楷體" w:hAnsi="標楷體"/>
          <w:sz w:val="28"/>
          <w:szCs w:val="28"/>
        </w:rPr>
        <w:t>一、當事人及其聯絡方式</w:t>
      </w:r>
    </w:p>
    <w:p>
      <w:pPr>
        <w:pStyle w:val="Normal"/>
        <w:tabs>
          <w:tab w:val="clear" w:pos="480"/>
          <w:tab w:val="left" w:pos="1992" w:leader="none"/>
        </w:tabs>
        <w:spacing w:lineRule="exact" w:line="500"/>
        <w:ind w:left="900" w:right="0" w:hanging="0"/>
        <w:rPr/>
      </w:pPr>
      <w:r>
        <w:rPr>
          <w:rFonts w:ascii="標楷體" w:hAnsi="標楷體"/>
          <w:sz w:val="28"/>
          <w:szCs w:val="28"/>
        </w:rPr>
        <w:t>契約應載明消費者之姓名、聯絡方式及</w:t>
      </w:r>
      <w:r>
        <w:rPr>
          <w:rFonts w:ascii="標楷體" w:hAnsi="標楷體"/>
          <w:color w:val="000000"/>
          <w:sz w:val="28"/>
          <w:szCs w:val="28"/>
        </w:rPr>
        <w:t>骨灰（骸）存放設施經營業者</w:t>
      </w:r>
      <w:r>
        <w:rPr>
          <w:rFonts w:ascii="標楷體" w:hAnsi="標楷體"/>
          <w:sz w:val="28"/>
          <w:szCs w:val="28"/>
        </w:rPr>
        <w:t>名稱、聯絡方式。</w:t>
      </w:r>
    </w:p>
    <w:p>
      <w:pPr>
        <w:pStyle w:val="Normal"/>
        <w:spacing w:lineRule="exact" w:line="500" w:before="180" w:after="0"/>
        <w:jc w:val="distribute"/>
        <w:rPr/>
      </w:pPr>
      <w:r>
        <w:rPr>
          <w:rFonts w:ascii="標楷體" w:hAnsi="標楷體"/>
          <w:sz w:val="28"/>
          <w:szCs w:val="28"/>
        </w:rPr>
        <w:t xml:space="preserve">  </w:t>
      </w:r>
      <w:r>
        <w:rPr>
          <w:rFonts w:ascii="標楷體" w:hAnsi="標楷體"/>
          <w:sz w:val="28"/>
          <w:szCs w:val="28"/>
        </w:rPr>
        <w:t>二、契約審閱期間</w:t>
      </w:r>
    </w:p>
    <w:p>
      <w:pPr>
        <w:pStyle w:val="Normal"/>
        <w:spacing w:lineRule="exact" w:line="500" w:before="180" w:after="0"/>
        <w:ind w:left="0" w:right="0" w:firstLine="560"/>
        <w:jc w:val="distribute"/>
        <w:rPr>
          <w:rFonts w:ascii="標楷體" w:hAnsi="標楷體"/>
          <w:sz w:val="28"/>
          <w:szCs w:val="28"/>
        </w:rPr>
      </w:pPr>
      <w:r>
        <w:rPr>
          <w:rFonts w:ascii="標楷體" w:hAnsi="標楷體"/>
          <w:sz w:val="28"/>
          <w:szCs w:val="28"/>
        </w:rPr>
        <w:t xml:space="preserve">  </w:t>
      </w:r>
      <w:r>
        <w:rPr>
          <w:rFonts w:ascii="標楷體" w:hAnsi="標楷體"/>
          <w:sz w:val="28"/>
          <w:szCs w:val="28"/>
        </w:rPr>
        <w:t>契約及其附件之審閱期間應予載明不得少於五日。</w:t>
      </w:r>
    </w:p>
    <w:p>
      <w:pPr>
        <w:pStyle w:val="Normal"/>
        <w:spacing w:lineRule="exact" w:line="500" w:before="180" w:after="0"/>
        <w:ind w:left="899" w:right="0" w:hanging="899"/>
        <w:jc w:val="distribute"/>
        <w:rPr/>
      </w:pPr>
      <w:r>
        <w:rPr>
          <w:rFonts w:ascii="標楷體" w:hAnsi="標楷體"/>
          <w:color w:val="000000"/>
          <w:sz w:val="28"/>
          <w:szCs w:val="28"/>
        </w:rPr>
        <w:t xml:space="preserve">  </w:t>
      </w:r>
      <w:r>
        <w:rPr>
          <w:rFonts w:ascii="標楷體" w:hAnsi="標楷體"/>
          <w:color w:val="000000"/>
          <w:sz w:val="28"/>
          <w:szCs w:val="28"/>
        </w:rPr>
        <w:t>三、骨灰（骸）存放設施經營業者將設施之土地或建物所有權移轉予消費者</w:t>
      </w:r>
      <w:r>
        <w:rPr>
          <w:rFonts w:ascii="標楷體" w:hAnsi="標楷體"/>
          <w:sz w:val="28"/>
          <w:szCs w:val="28"/>
        </w:rPr>
        <w:t>時之權利義務</w:t>
      </w:r>
    </w:p>
    <w:p>
      <w:pPr>
        <w:pStyle w:val="Normal"/>
        <w:tabs>
          <w:tab w:val="clear" w:pos="480"/>
          <w:tab w:val="left" w:pos="1992" w:leader="none"/>
        </w:tabs>
        <w:spacing w:lineRule="exact" w:line="500" w:before="180" w:after="0"/>
        <w:ind w:left="900" w:right="0" w:hanging="0"/>
        <w:rPr/>
      </w:pPr>
      <w:r>
        <w:rPr>
          <w:rFonts w:ascii="標楷體" w:hAnsi="標楷體"/>
          <w:color w:val="000000"/>
          <w:sz w:val="28"/>
          <w:szCs w:val="28"/>
        </w:rPr>
        <w:t>本契約所訂之骨灰（骸）存放單位使用權，非以消費者應取得該設施之所有權為前提。如骨灰（骸）存放設施經營業者將設施之土地或建物所有權移轉予消費者，</w:t>
      </w:r>
      <w:r>
        <w:rPr>
          <w:rFonts w:ascii="標楷體" w:hAnsi="標楷體"/>
          <w:color w:val="000000"/>
          <w:spacing w:val="16"/>
          <w:sz w:val="28"/>
          <w:szCs w:val="28"/>
        </w:rPr>
        <w:t>應載明相關得否使用、收益、處分等權利及應繳納之地價稅、房屋稅、土地增值稅、契稅、登記規費等義務事項。</w:t>
      </w:r>
    </w:p>
    <w:p>
      <w:pPr>
        <w:pStyle w:val="Normal"/>
        <w:spacing w:lineRule="exact" w:line="500" w:before="50" w:after="0"/>
        <w:ind w:left="0" w:right="0" w:firstLine="179"/>
        <w:jc w:val="distribute"/>
        <w:rPr>
          <w:rFonts w:ascii="標楷體" w:hAnsi="標楷體"/>
          <w:b/>
          <w:sz w:val="28"/>
          <w:szCs w:val="28"/>
        </w:rPr>
      </w:pPr>
      <w:r>
        <w:rPr>
          <w:rFonts w:ascii="標楷體" w:hAnsi="標楷體"/>
          <w:sz w:val="28"/>
          <w:szCs w:val="28"/>
        </w:rPr>
        <w:t>四、契約標的</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00"/>
        <w:ind w:left="718" w:right="0" w:hanging="0"/>
        <w:rPr/>
      </w:pPr>
      <w:r>
        <w:rPr>
          <w:rFonts w:ascii="標楷體" w:hAnsi="標楷體" w:eastAsia="標楷體"/>
          <w:color w:val="000000"/>
          <w:sz w:val="28"/>
          <w:szCs w:val="28"/>
        </w:rPr>
        <w:t>骨灰（骸）存放單位使用權買賣應載明契約標的。</w:t>
      </w:r>
      <w:r>
        <w:rPr>
          <w:rFonts w:ascii="標楷體" w:hAnsi="標楷體" w:eastAsia="標楷體"/>
          <w:color w:val="000000"/>
          <w:spacing w:val="16"/>
          <w:sz w:val="28"/>
          <w:szCs w:val="28"/>
        </w:rPr>
        <w:t>如契約標的非「指定至區排層號」者，骨灰（骸）存放設施經營業者應提供明確之標的範圍供消費者選用，並於營業場所建置相關系統供消費者查詢該可選用標的範圍內之最新販售數量與選位資訊。</w:t>
      </w:r>
      <w:r>
        <w:rPr>
          <w:rFonts w:ascii="標楷體" w:hAnsi="標楷體" w:eastAsia="標楷體"/>
          <w:sz w:val="28"/>
          <w:szCs w:val="28"/>
        </w:rPr>
        <w:t xml:space="preserve"> </w:t>
      </w:r>
      <w:r>
        <w:rPr>
          <w:rFonts w:ascii="標楷體" w:hAnsi="標楷體" w:eastAsia="標楷體"/>
          <w:sz w:val="28"/>
          <w:szCs w:val="28"/>
        </w:rPr>
        <w:t xml:space="preserve">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00"/>
        <w:ind w:left="718" w:right="0" w:hanging="0"/>
        <w:rPr>
          <w:rFonts w:ascii="標楷體" w:hAnsi="標楷體" w:eastAsia="標楷體"/>
          <w:b/>
          <w:sz w:val="28"/>
          <w:szCs w:val="28"/>
        </w:rPr>
      </w:pPr>
      <w:r>
        <w:rPr>
          <w:rFonts w:eastAsia="標楷體" w:ascii="標楷體" w:hAnsi="標楷體"/>
          <w:b/>
          <w:sz w:val="28"/>
          <w:szCs w:val="28"/>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500"/>
        <w:ind w:left="718" w:right="0" w:hanging="0"/>
        <w:rPr>
          <w:rFonts w:ascii="標楷體" w:hAnsi="標楷體" w:eastAsia="標楷體"/>
          <w:b/>
          <w:sz w:val="28"/>
          <w:szCs w:val="28"/>
        </w:rPr>
      </w:pPr>
      <w:r>
        <w:rPr>
          <w:rFonts w:eastAsia="標楷體" w:ascii="標楷體" w:hAnsi="標楷體"/>
          <w:b/>
          <w:sz w:val="28"/>
          <w:szCs w:val="28"/>
        </w:rPr>
      </w:r>
    </w:p>
    <w:p>
      <w:pPr>
        <w:pStyle w:val="Normal"/>
        <w:spacing w:lineRule="exact" w:line="500" w:before="180" w:after="0"/>
        <w:ind w:left="1" w:right="0" w:hanging="0"/>
        <w:jc w:val="distribute"/>
        <w:rPr/>
      </w:pPr>
      <w:r>
        <w:rPr>
          <w:rFonts w:ascii="標楷體" w:hAnsi="標楷體"/>
          <w:b/>
          <w:sz w:val="28"/>
          <w:szCs w:val="28"/>
        </w:rPr>
        <w:t xml:space="preserve"> </w:t>
      </w:r>
      <w:r>
        <w:rPr>
          <w:rFonts w:ascii="標楷體" w:hAnsi="標楷體"/>
          <w:sz w:val="28"/>
          <w:szCs w:val="28"/>
        </w:rPr>
        <w:t>五、</w:t>
      </w:r>
      <w:r>
        <w:rPr>
          <w:rFonts w:ascii="標楷體" w:hAnsi="標楷體"/>
          <w:color w:val="000000"/>
          <w:sz w:val="28"/>
          <w:szCs w:val="28"/>
        </w:rPr>
        <w:t>適用範圍、廣告責任與自訂規範不得牴觸本契約</w:t>
      </w:r>
    </w:p>
    <w:p>
      <w:pPr>
        <w:pStyle w:val="Normal"/>
        <w:spacing w:lineRule="exact" w:line="500" w:before="180" w:after="0"/>
        <w:ind w:left="538" w:right="0" w:hanging="180"/>
        <w:jc w:val="distribute"/>
        <w:rPr/>
      </w:pPr>
      <w:r>
        <w:rPr>
          <w:rFonts w:ascii="標楷體" w:hAnsi="標楷體"/>
          <w:color w:val="000000"/>
          <w:sz w:val="28"/>
          <w:szCs w:val="28"/>
        </w:rPr>
        <w:t xml:space="preserve"> </w:t>
      </w:r>
      <w:r>
        <w:rPr>
          <w:rFonts w:ascii="標楷體" w:hAnsi="標楷體"/>
          <w:color w:val="000000"/>
          <w:sz w:val="28"/>
          <w:szCs w:val="28"/>
        </w:rPr>
        <w:t>消費者、骨灰（骸）存放設施經營業者</w:t>
      </w:r>
      <w:r>
        <w:rPr>
          <w:rFonts w:ascii="標楷體" w:hAnsi="標楷體"/>
          <w:color w:val="000000"/>
          <w:spacing w:val="16"/>
          <w:sz w:val="28"/>
          <w:szCs w:val="28"/>
        </w:rPr>
        <w:t>雙方關於骨</w:t>
      </w:r>
      <w:r>
        <w:rPr>
          <w:rFonts w:ascii="標楷體" w:hAnsi="標楷體"/>
          <w:color w:val="000000"/>
          <w:sz w:val="28"/>
          <w:szCs w:val="28"/>
        </w:rPr>
        <w:t>灰（骸）存放單位</w:t>
      </w:r>
      <w:r>
        <w:rPr>
          <w:rFonts w:ascii="標楷體" w:hAnsi="標楷體"/>
          <w:color w:val="000000"/>
          <w:spacing w:val="16"/>
          <w:sz w:val="28"/>
          <w:szCs w:val="28"/>
        </w:rPr>
        <w:t>使用權買賣之權利義務，依本契約之約定。</w:t>
      </w:r>
    </w:p>
    <w:p>
      <w:pPr>
        <w:pStyle w:val="Normal"/>
        <w:spacing w:lineRule="exact" w:line="500" w:before="180" w:after="0"/>
        <w:ind w:left="540" w:right="0" w:hanging="180"/>
        <w:jc w:val="distribute"/>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骨灰（骸）存放設施經營業者應確保廣告內容之真實，對消費者所負之義務不得低於廣告之內容。文宣與廣告均視為契約內容之一部分。</w:t>
      </w:r>
    </w:p>
    <w:p>
      <w:pPr>
        <w:pStyle w:val="Normal"/>
        <w:spacing w:lineRule="exact" w:line="500" w:before="50" w:after="0"/>
        <w:ind w:left="540" w:right="0" w:hanging="0"/>
        <w:rPr/>
      </w:pPr>
      <w:r>
        <w:rPr>
          <w:rFonts w:ascii="標楷體" w:hAnsi="標楷體"/>
          <w:color w:val="000000"/>
          <w:sz w:val="28"/>
          <w:szCs w:val="28"/>
        </w:rPr>
        <w:t>骨灰（骸）存放設施經營業者自訂之</w:t>
      </w:r>
      <w:r>
        <w:rPr>
          <w:rFonts w:ascii="標楷體" w:hAnsi="標楷體"/>
          <w:color w:val="000000"/>
          <w:spacing w:val="16"/>
          <w:sz w:val="28"/>
          <w:szCs w:val="28"/>
        </w:rPr>
        <w:t>骨</w:t>
      </w:r>
      <w:r>
        <w:rPr>
          <w:rFonts w:ascii="標楷體" w:hAnsi="標楷體"/>
          <w:color w:val="000000"/>
          <w:sz w:val="28"/>
          <w:szCs w:val="28"/>
        </w:rPr>
        <w:t>灰（骸）存放單位</w:t>
      </w:r>
      <w:r>
        <w:rPr>
          <w:rFonts w:ascii="標楷體" w:hAnsi="標楷體"/>
          <w:color w:val="000000"/>
          <w:spacing w:val="16"/>
          <w:sz w:val="28"/>
          <w:szCs w:val="28"/>
        </w:rPr>
        <w:t>使用權</w:t>
      </w:r>
      <w:r>
        <w:rPr>
          <w:rFonts w:ascii="標楷體" w:hAnsi="標楷體"/>
          <w:color w:val="000000"/>
          <w:sz w:val="28"/>
          <w:szCs w:val="28"/>
        </w:rPr>
        <w:t>相關規範，不得牴觸本契約。</w:t>
      </w:r>
      <w:r>
        <w:rPr>
          <w:rFonts w:ascii="標楷體" w:hAnsi="標楷體"/>
          <w:color w:val="000000"/>
          <w:sz w:val="28"/>
          <w:szCs w:val="28"/>
        </w:rPr>
        <w:t xml:space="preserve">  </w:t>
      </w:r>
    </w:p>
    <w:p>
      <w:pPr>
        <w:pStyle w:val="Normal"/>
        <w:spacing w:lineRule="exact" w:line="500" w:before="50" w:after="0"/>
        <w:ind w:left="538" w:right="0" w:hanging="538"/>
        <w:rPr>
          <w:rFonts w:ascii="標楷體" w:hAnsi="標楷體"/>
          <w:b/>
          <w:color w:val="000000"/>
          <w:sz w:val="28"/>
          <w:szCs w:val="28"/>
        </w:rPr>
      </w:pPr>
      <w:r>
        <w:rPr>
          <w:rFonts w:ascii="標楷體" w:hAnsi="標楷體"/>
          <w:color w:val="000000"/>
          <w:sz w:val="28"/>
          <w:szCs w:val="28"/>
        </w:rPr>
        <w:t>六、骨灰（骸）存放設施使用權之使用期間</w:t>
      </w:r>
    </w:p>
    <w:p>
      <w:pPr>
        <w:pStyle w:val="Normal"/>
        <w:spacing w:lineRule="exact" w:line="500"/>
        <w:ind w:left="538" w:right="0" w:hanging="0"/>
        <w:jc w:val="distribute"/>
        <w:rPr>
          <w:rFonts w:ascii="標楷體" w:hAnsi="標楷體"/>
          <w:color w:val="000000"/>
          <w:sz w:val="28"/>
          <w:szCs w:val="28"/>
        </w:rPr>
      </w:pPr>
      <w:r>
        <w:rPr>
          <w:rFonts w:ascii="標楷體" w:hAnsi="標楷體"/>
          <w:color w:val="000000"/>
          <w:sz w:val="28"/>
          <w:szCs w:val="28"/>
        </w:rPr>
        <w:t>骨灰（骸）存放設施使用權之使用期間，分「永久使用權」及「固定年限使用權」二類，骨灰（骸）存放設施經營業者擇一訂定於契約，個別應記載事項如下：</w:t>
      </w:r>
    </w:p>
    <w:p>
      <w:pPr>
        <w:pStyle w:val="Normal"/>
        <w:spacing w:lineRule="exact" w:line="500"/>
        <w:jc w:val="distribute"/>
        <w:rPr>
          <w:rFonts w:ascii="標楷體" w:hAnsi="標楷體"/>
          <w:color w:val="000000"/>
          <w:spacing w:val="16"/>
          <w:sz w:val="28"/>
          <w:szCs w:val="28"/>
        </w:rPr>
      </w:pPr>
      <w:r>
        <w:rPr>
          <w:rFonts w:ascii="標楷體" w:hAnsi="標楷體"/>
          <w:color w:val="000000"/>
          <w:spacing w:val="16"/>
          <w:sz w:val="28"/>
          <w:szCs w:val="28"/>
        </w:rPr>
        <w:t>（一）永久使用權</w:t>
      </w:r>
    </w:p>
    <w:p>
      <w:pPr>
        <w:pStyle w:val="Normal"/>
        <w:spacing w:lineRule="exact" w:line="500"/>
        <w:ind w:left="900" w:right="0" w:hanging="0"/>
        <w:jc w:val="distribute"/>
        <w:rPr/>
      </w:pPr>
      <w:r>
        <w:rPr>
          <w:rFonts w:ascii="標楷體" w:hAnsi="標楷體"/>
          <w:color w:val="000000"/>
          <w:sz w:val="28"/>
          <w:szCs w:val="28"/>
        </w:rPr>
        <w:t>骨灰（骸）存放設施經營業者</w:t>
      </w:r>
      <w:r>
        <w:rPr>
          <w:rFonts w:ascii="標楷體" w:hAnsi="標楷體"/>
          <w:color w:val="000000"/>
          <w:spacing w:val="16"/>
          <w:sz w:val="28"/>
          <w:szCs w:val="28"/>
        </w:rPr>
        <w:t>同意消費者永久供奉存放骨灰</w:t>
      </w:r>
      <w:r>
        <w:rPr>
          <w:rFonts w:ascii="標楷體" w:hAnsi="標楷體"/>
          <w:color w:val="000000"/>
          <w:spacing w:val="16"/>
          <w:sz w:val="28"/>
          <w:szCs w:val="28"/>
        </w:rPr>
        <w:t>(</w:t>
      </w:r>
      <w:r>
        <w:rPr>
          <w:rFonts w:ascii="標楷體" w:hAnsi="標楷體"/>
          <w:color w:val="000000"/>
          <w:spacing w:val="16"/>
          <w:sz w:val="28"/>
          <w:szCs w:val="28"/>
        </w:rPr>
        <w:t>骸</w:t>
      </w:r>
      <w:r>
        <w:rPr>
          <w:rFonts w:ascii="標楷體" w:hAnsi="標楷體"/>
          <w:color w:val="000000"/>
          <w:spacing w:val="16"/>
          <w:sz w:val="28"/>
          <w:szCs w:val="28"/>
        </w:rPr>
        <w:t>)</w:t>
      </w:r>
      <w:r>
        <w:rPr>
          <w:rFonts w:ascii="標楷體" w:hAnsi="標楷體"/>
          <w:color w:val="000000"/>
          <w:spacing w:val="16"/>
          <w:sz w:val="28"/>
          <w:szCs w:val="28"/>
        </w:rPr>
        <w:t>至該骨</w:t>
      </w:r>
      <w:r>
        <w:rPr>
          <w:rFonts w:ascii="標楷體" w:hAnsi="標楷體"/>
          <w:color w:val="000000"/>
          <w:sz w:val="28"/>
          <w:szCs w:val="28"/>
        </w:rPr>
        <w:t>灰（骸）存放設施</w:t>
      </w:r>
      <w:r>
        <w:rPr>
          <w:rFonts w:ascii="標楷體" w:hAnsi="標楷體"/>
          <w:color w:val="000000"/>
          <w:spacing w:val="16"/>
          <w:sz w:val="28"/>
          <w:szCs w:val="28"/>
        </w:rPr>
        <w:t>自然老舊不能修復時止。其期間不得少於○○年。</w:t>
      </w:r>
    </w:p>
    <w:p>
      <w:pPr>
        <w:pStyle w:val="Normal"/>
        <w:spacing w:lineRule="exact" w:line="500" w:before="180" w:after="0"/>
        <w:ind w:left="900" w:right="0" w:hanging="0"/>
        <w:jc w:val="distribute"/>
        <w:rPr>
          <w:rFonts w:ascii="標楷體" w:hAnsi="標楷體"/>
          <w:color w:val="000000"/>
          <w:spacing w:val="16"/>
          <w:sz w:val="28"/>
          <w:szCs w:val="28"/>
        </w:rPr>
      </w:pPr>
      <w:r>
        <w:rPr>
          <w:rFonts w:ascii="標楷體" w:hAnsi="標楷體"/>
          <w:color w:val="000000"/>
          <w:spacing w:val="16"/>
          <w:sz w:val="28"/>
          <w:szCs w:val="28"/>
        </w:rPr>
        <w:t>前項期間，如因不可抗力或其他事變致喪失存放骨灰</w:t>
      </w:r>
      <w:r>
        <w:rPr>
          <w:rFonts w:ascii="標楷體" w:hAnsi="標楷體"/>
          <w:color w:val="000000"/>
          <w:spacing w:val="16"/>
          <w:sz w:val="28"/>
          <w:szCs w:val="28"/>
        </w:rPr>
        <w:t>(</w:t>
      </w:r>
      <w:r>
        <w:rPr>
          <w:rFonts w:ascii="標楷體" w:hAnsi="標楷體"/>
          <w:color w:val="000000"/>
          <w:spacing w:val="16"/>
          <w:sz w:val="28"/>
          <w:szCs w:val="28"/>
        </w:rPr>
        <w:t>骸</w:t>
      </w:r>
      <w:r>
        <w:rPr>
          <w:rFonts w:ascii="標楷體" w:hAnsi="標楷體"/>
          <w:color w:val="000000"/>
          <w:spacing w:val="16"/>
          <w:sz w:val="28"/>
          <w:szCs w:val="28"/>
        </w:rPr>
        <w:t>)</w:t>
      </w:r>
      <w:r>
        <w:rPr>
          <w:rFonts w:ascii="標楷體" w:hAnsi="標楷體"/>
          <w:color w:val="000000"/>
          <w:spacing w:val="16"/>
          <w:sz w:val="28"/>
          <w:szCs w:val="28"/>
        </w:rPr>
        <w:t>功能，而不能修復或修復顯有重大困難，契約視為終止。</w:t>
      </w:r>
    </w:p>
    <w:p>
      <w:pPr>
        <w:pStyle w:val="Normal"/>
        <w:spacing w:lineRule="exact" w:line="500" w:before="180" w:after="0"/>
        <w:ind w:left="900" w:right="0" w:hanging="0"/>
        <w:jc w:val="distribute"/>
        <w:rPr/>
      </w:pPr>
      <w:r>
        <w:rPr>
          <w:rFonts w:ascii="標楷體" w:hAnsi="標楷體"/>
          <w:color w:val="000000"/>
          <w:spacing w:val="16"/>
          <w:sz w:val="28"/>
          <w:szCs w:val="28"/>
        </w:rPr>
        <w:t>前二項骨灰（骸）存放設施是否為不能修復或修復顯有重大困難，由</w:t>
      </w:r>
      <w:r>
        <w:rPr>
          <w:rFonts w:ascii="標楷體" w:hAnsi="標楷體"/>
          <w:color w:val="000000"/>
          <w:sz w:val="28"/>
          <w:szCs w:val="28"/>
        </w:rPr>
        <w:t>骨灰（骸）存放設施經營業者</w:t>
      </w:r>
      <w:r>
        <w:rPr>
          <w:rFonts w:ascii="標楷體" w:hAnsi="標楷體"/>
          <w:color w:val="000000"/>
          <w:spacing w:val="16"/>
          <w:sz w:val="28"/>
          <w:szCs w:val="28"/>
        </w:rPr>
        <w:t>洽請公正之專業機構或公會認定。</w:t>
      </w:r>
    </w:p>
    <w:p>
      <w:pPr>
        <w:pStyle w:val="Normal"/>
        <w:spacing w:lineRule="exact" w:line="500" w:before="180" w:after="0"/>
        <w:ind w:left="900" w:right="0" w:hanging="2"/>
        <w:jc w:val="distribute"/>
        <w:rPr/>
      </w:pPr>
      <w:r>
        <w:rPr>
          <w:rFonts w:ascii="標楷體" w:hAnsi="標楷體"/>
          <w:color w:val="000000"/>
          <w:spacing w:val="16"/>
          <w:sz w:val="28"/>
          <w:szCs w:val="28"/>
        </w:rPr>
        <w:t>第一項永久使用期間屆滿前老舊不能修復或第二項視為終止事由發生時，其消費者不能使用之期間，</w:t>
      </w:r>
      <w:r>
        <w:rPr>
          <w:rFonts w:ascii="標楷體" w:hAnsi="標楷體"/>
          <w:color w:val="000000"/>
          <w:sz w:val="28"/>
          <w:szCs w:val="28"/>
        </w:rPr>
        <w:t>骨灰（骸）存放設施經營業者</w:t>
      </w:r>
      <w:r>
        <w:rPr>
          <w:rFonts w:ascii="標楷體" w:hAnsi="標楷體"/>
          <w:color w:val="000000"/>
          <w:spacing w:val="16"/>
          <w:sz w:val="28"/>
          <w:szCs w:val="28"/>
        </w:rPr>
        <w:t>應按比例返還使用權價金及超收之骨灰（骸）存放單位管理費。</w:t>
      </w:r>
    </w:p>
    <w:p>
      <w:pPr>
        <w:pStyle w:val="Normal"/>
        <w:spacing w:lineRule="exact" w:line="500" w:before="180" w:after="0"/>
        <w:ind w:left="900" w:right="0" w:hanging="0"/>
        <w:jc w:val="distribute"/>
        <w:rPr/>
      </w:pPr>
      <w:r>
        <w:rPr>
          <w:rFonts w:ascii="標楷體" w:hAnsi="標楷體"/>
          <w:color w:val="000000"/>
          <w:spacing w:val="16"/>
          <w:sz w:val="28"/>
          <w:szCs w:val="28"/>
        </w:rPr>
        <w:t>第二項有不可抗力或事變所生之毀損，於修復期間，</w:t>
      </w:r>
      <w:r>
        <w:rPr>
          <w:rFonts w:ascii="標楷體" w:hAnsi="標楷體"/>
          <w:color w:val="000000"/>
          <w:sz w:val="28"/>
          <w:szCs w:val="28"/>
        </w:rPr>
        <w:t>骨灰（骸）存放設施經營業者</w:t>
      </w:r>
      <w:r>
        <w:rPr>
          <w:rFonts w:ascii="標楷體" w:hAnsi="標楷體"/>
          <w:color w:val="000000"/>
          <w:spacing w:val="16"/>
          <w:sz w:val="28"/>
          <w:szCs w:val="28"/>
        </w:rPr>
        <w:t>仍應負本契約所定各項義務。</w:t>
      </w:r>
    </w:p>
    <w:p>
      <w:pPr>
        <w:pStyle w:val="Normal"/>
        <w:spacing w:lineRule="exact" w:line="500" w:before="180" w:after="0"/>
        <w:jc w:val="distribute"/>
        <w:rPr>
          <w:rFonts w:ascii="標楷體" w:hAnsi="標楷體"/>
          <w:color w:val="000000"/>
          <w:spacing w:val="16"/>
          <w:sz w:val="28"/>
          <w:szCs w:val="28"/>
        </w:rPr>
      </w:pPr>
      <w:r>
        <w:rPr>
          <w:rFonts w:ascii="標楷體" w:hAnsi="標楷體"/>
          <w:color w:val="000000"/>
          <w:spacing w:val="16"/>
          <w:sz w:val="28"/>
          <w:szCs w:val="28"/>
        </w:rPr>
        <w:t>（二）固定年限使用權</w:t>
      </w:r>
    </w:p>
    <w:p>
      <w:pPr>
        <w:pStyle w:val="Normal"/>
        <w:spacing w:lineRule="exact" w:line="500" w:before="180" w:after="0"/>
        <w:ind w:left="900" w:right="0" w:hanging="0"/>
        <w:jc w:val="distribute"/>
        <w:rPr/>
      </w:pPr>
      <w:r>
        <w:rPr>
          <w:rFonts w:ascii="標楷體" w:hAnsi="標楷體"/>
          <w:color w:val="000000"/>
          <w:sz w:val="28"/>
          <w:szCs w:val="28"/>
        </w:rPr>
        <w:t>骨灰（骸）存放設施經營業者</w:t>
      </w:r>
      <w:r>
        <w:rPr>
          <w:rFonts w:ascii="標楷體" w:hAnsi="標楷體"/>
          <w:color w:val="000000"/>
          <w:spacing w:val="16"/>
          <w:sz w:val="28"/>
          <w:szCs w:val="28"/>
        </w:rPr>
        <w:t>同意消費者供奉存放骨灰</w:t>
      </w:r>
      <w:r>
        <w:rPr>
          <w:rFonts w:ascii="標楷體" w:hAnsi="標楷體"/>
          <w:color w:val="000000"/>
          <w:spacing w:val="16"/>
          <w:sz w:val="28"/>
          <w:szCs w:val="28"/>
        </w:rPr>
        <w:t>(</w:t>
      </w:r>
      <w:r>
        <w:rPr>
          <w:rFonts w:ascii="標楷體" w:hAnsi="標楷體"/>
          <w:color w:val="000000"/>
          <w:spacing w:val="16"/>
          <w:sz w:val="28"/>
          <w:szCs w:val="28"/>
        </w:rPr>
        <w:t>骸</w:t>
      </w:r>
      <w:r>
        <w:rPr>
          <w:rFonts w:ascii="標楷體" w:hAnsi="標楷體"/>
          <w:color w:val="000000"/>
          <w:spacing w:val="16"/>
          <w:sz w:val="28"/>
          <w:szCs w:val="28"/>
        </w:rPr>
        <w:t>)</w:t>
      </w:r>
      <w:r>
        <w:rPr>
          <w:rFonts w:ascii="標楷體" w:hAnsi="標楷體"/>
          <w:color w:val="000000"/>
          <w:spacing w:val="16"/>
          <w:sz w:val="28"/>
          <w:szCs w:val="28"/>
        </w:rPr>
        <w:t>從民國○○年○○月○○日至○○年○○月○○日，共使用○○年。</w:t>
      </w:r>
    </w:p>
    <w:p>
      <w:pPr>
        <w:pStyle w:val="Normal"/>
        <w:spacing w:lineRule="exact" w:line="500" w:before="180" w:after="0"/>
        <w:ind w:left="900" w:right="0" w:hanging="0"/>
        <w:jc w:val="distribute"/>
        <w:rPr>
          <w:rFonts w:ascii="標楷體" w:hAnsi="標楷體"/>
          <w:color w:val="000000"/>
          <w:spacing w:val="16"/>
          <w:sz w:val="28"/>
          <w:szCs w:val="28"/>
        </w:rPr>
      </w:pPr>
      <w:r>
        <w:rPr>
          <w:rFonts w:ascii="標楷體" w:hAnsi="標楷體"/>
          <w:color w:val="000000"/>
          <w:spacing w:val="16"/>
          <w:sz w:val="28"/>
          <w:szCs w:val="28"/>
        </w:rPr>
        <w:t>前項期間，如因不可抗力或其他事變致喪失存放骨灰</w:t>
      </w:r>
      <w:r>
        <w:rPr>
          <w:rFonts w:ascii="標楷體" w:hAnsi="標楷體"/>
          <w:color w:val="000000"/>
          <w:spacing w:val="16"/>
          <w:sz w:val="28"/>
          <w:szCs w:val="28"/>
        </w:rPr>
        <w:t>(</w:t>
      </w:r>
      <w:r>
        <w:rPr>
          <w:rFonts w:ascii="標楷體" w:hAnsi="標楷體"/>
          <w:color w:val="000000"/>
          <w:spacing w:val="16"/>
          <w:sz w:val="28"/>
          <w:szCs w:val="28"/>
        </w:rPr>
        <w:t>骸</w:t>
      </w:r>
      <w:r>
        <w:rPr>
          <w:rFonts w:ascii="標楷體" w:hAnsi="標楷體"/>
          <w:color w:val="000000"/>
          <w:spacing w:val="16"/>
          <w:sz w:val="28"/>
          <w:szCs w:val="28"/>
        </w:rPr>
        <w:t>)</w:t>
      </w:r>
      <w:r>
        <w:rPr>
          <w:rFonts w:ascii="標楷體" w:hAnsi="標楷體"/>
          <w:color w:val="000000"/>
          <w:spacing w:val="16"/>
          <w:sz w:val="28"/>
          <w:szCs w:val="28"/>
        </w:rPr>
        <w:t>功能，而不能修復或修復顯有重大困難，契約視為終止。</w:t>
      </w:r>
    </w:p>
    <w:p>
      <w:pPr>
        <w:pStyle w:val="Normal"/>
        <w:spacing w:lineRule="exact" w:line="500" w:before="180" w:after="0"/>
        <w:ind w:left="900" w:right="0" w:hanging="2"/>
        <w:jc w:val="distribute"/>
        <w:rPr/>
      </w:pPr>
      <w:r>
        <w:rPr>
          <w:rFonts w:ascii="標楷體" w:hAnsi="標楷體"/>
          <w:color w:val="000000"/>
          <w:spacing w:val="16"/>
          <w:sz w:val="28"/>
          <w:szCs w:val="28"/>
        </w:rPr>
        <w:t>前二項骨灰（骸）存放設施是否為不能修復或修復顯有重大困難，由</w:t>
      </w:r>
      <w:r>
        <w:rPr>
          <w:rFonts w:ascii="標楷體" w:hAnsi="標楷體"/>
          <w:color w:val="000000"/>
          <w:sz w:val="28"/>
          <w:szCs w:val="28"/>
        </w:rPr>
        <w:t>骨灰（骸）存放設施經營業者</w:t>
      </w:r>
      <w:r>
        <w:rPr>
          <w:rFonts w:ascii="標楷體" w:hAnsi="標楷體"/>
          <w:color w:val="000000"/>
          <w:spacing w:val="16"/>
          <w:sz w:val="28"/>
          <w:szCs w:val="28"/>
        </w:rPr>
        <w:t>洽請公正之專業機構或公會認定。</w:t>
      </w:r>
    </w:p>
    <w:p>
      <w:pPr>
        <w:pStyle w:val="Normal"/>
        <w:spacing w:lineRule="exact" w:line="500" w:before="180" w:after="0"/>
        <w:ind w:left="900" w:right="0" w:hanging="0"/>
        <w:jc w:val="distribute"/>
        <w:rPr/>
      </w:pPr>
      <w:r>
        <w:rPr>
          <w:rFonts w:ascii="標楷體" w:hAnsi="標楷體"/>
          <w:color w:val="000000"/>
          <w:spacing w:val="16"/>
          <w:sz w:val="28"/>
          <w:szCs w:val="28"/>
        </w:rPr>
        <w:t>第一項使用期間屆滿前老舊不能修復或第二項視為終止事由發生時，其消費者不能使用之期間，</w:t>
      </w:r>
      <w:r>
        <w:rPr>
          <w:rFonts w:ascii="標楷體" w:hAnsi="標楷體"/>
          <w:color w:val="000000"/>
          <w:sz w:val="28"/>
          <w:szCs w:val="28"/>
        </w:rPr>
        <w:t>骨灰（骸）存放設施經營業者</w:t>
      </w:r>
      <w:r>
        <w:rPr>
          <w:rFonts w:ascii="標楷體" w:hAnsi="標楷體"/>
          <w:color w:val="000000"/>
          <w:spacing w:val="16"/>
          <w:sz w:val="28"/>
          <w:szCs w:val="28"/>
        </w:rPr>
        <w:t>應按比例返還使用權價金及超收之骨灰（骸）存放單位管理費。</w:t>
      </w:r>
    </w:p>
    <w:p>
      <w:pPr>
        <w:pStyle w:val="Normal"/>
        <w:spacing w:lineRule="exact" w:line="500" w:before="180" w:after="0"/>
        <w:ind w:left="900" w:right="0" w:hanging="0"/>
        <w:jc w:val="distribute"/>
        <w:rPr/>
      </w:pPr>
      <w:r>
        <w:rPr>
          <w:rFonts w:ascii="標楷體" w:hAnsi="標楷體"/>
          <w:color w:val="000000"/>
          <w:spacing w:val="16"/>
          <w:sz w:val="28"/>
          <w:szCs w:val="28"/>
        </w:rPr>
        <w:t>第二項有不可抗力或事變所生之毀損，於修復期間，</w:t>
      </w:r>
      <w:r>
        <w:rPr>
          <w:rFonts w:ascii="標楷體" w:hAnsi="標楷體"/>
          <w:color w:val="000000"/>
          <w:sz w:val="28"/>
          <w:szCs w:val="28"/>
        </w:rPr>
        <w:t>骨灰（骸） 存放設施經營業者</w:t>
      </w:r>
      <w:r>
        <w:rPr>
          <w:rFonts w:ascii="標楷體" w:hAnsi="標楷體"/>
          <w:color w:val="000000"/>
          <w:spacing w:val="16"/>
          <w:sz w:val="28"/>
          <w:szCs w:val="28"/>
        </w:rPr>
        <w:t>仍應負本契約所定各項義務。</w:t>
      </w:r>
    </w:p>
    <w:p>
      <w:pPr>
        <w:pStyle w:val="Normal"/>
        <w:spacing w:lineRule="exact" w:line="500" w:before="180" w:after="0"/>
        <w:ind w:left="538" w:right="113" w:hanging="538"/>
        <w:jc w:val="distribute"/>
        <w:rPr/>
      </w:pPr>
      <w:r>
        <w:rPr>
          <w:rFonts w:ascii="標楷體" w:hAnsi="標楷體"/>
          <w:color w:val="000000"/>
          <w:sz w:val="28"/>
          <w:szCs w:val="28"/>
        </w:rPr>
        <w:t xml:space="preserve">    </w:t>
      </w:r>
      <w:r>
        <w:rPr>
          <w:rFonts w:ascii="標楷體" w:hAnsi="標楷體"/>
          <w:color w:val="000000"/>
          <w:sz w:val="28"/>
          <w:szCs w:val="28"/>
        </w:rPr>
        <w:t>骨灰（骸）存放設施經營業者</w:t>
      </w:r>
      <w:r>
        <w:rPr>
          <w:rFonts w:ascii="標楷體" w:hAnsi="標楷體"/>
          <w:color w:val="000000"/>
          <w:spacing w:val="16"/>
          <w:sz w:val="28"/>
          <w:szCs w:val="28"/>
        </w:rPr>
        <w:t>應於消費者之骨灰（骸）存放單位使用期間屆滿前三個月以書面通知消費者，消費者應於使用期間屆滿前將骨灰</w:t>
      </w:r>
      <w:r>
        <w:rPr>
          <w:rFonts w:ascii="標楷體" w:hAnsi="標楷體"/>
          <w:color w:val="000000"/>
          <w:spacing w:val="16"/>
          <w:sz w:val="28"/>
          <w:szCs w:val="28"/>
        </w:rPr>
        <w:t>(</w:t>
      </w:r>
      <w:r>
        <w:rPr>
          <w:rFonts w:ascii="標楷體" w:hAnsi="標楷體"/>
          <w:color w:val="000000"/>
          <w:spacing w:val="16"/>
          <w:sz w:val="28"/>
          <w:szCs w:val="28"/>
        </w:rPr>
        <w:t>骸</w:t>
      </w:r>
      <w:r>
        <w:rPr>
          <w:rFonts w:ascii="標楷體" w:hAnsi="標楷體"/>
          <w:color w:val="000000"/>
          <w:spacing w:val="16"/>
          <w:sz w:val="28"/>
          <w:szCs w:val="28"/>
        </w:rPr>
        <w:t>)</w:t>
      </w:r>
      <w:r>
        <w:rPr>
          <w:rFonts w:ascii="標楷體" w:hAnsi="標楷體"/>
          <w:color w:val="000000"/>
          <w:spacing w:val="16"/>
          <w:sz w:val="28"/>
          <w:szCs w:val="28"/>
        </w:rPr>
        <w:t>領回，如屆滿後消費者未領回者，</w:t>
      </w:r>
      <w:r>
        <w:rPr>
          <w:rFonts w:ascii="標楷體" w:hAnsi="標楷體"/>
          <w:color w:val="000000"/>
          <w:sz w:val="28"/>
          <w:szCs w:val="28"/>
        </w:rPr>
        <w:t>骨灰（骸）存放設施經營業者</w:t>
      </w:r>
      <w:r>
        <w:rPr>
          <w:rFonts w:ascii="標楷體" w:hAnsi="標楷體"/>
          <w:color w:val="000000"/>
          <w:spacing w:val="16"/>
          <w:sz w:val="28"/>
          <w:szCs w:val="28"/>
        </w:rPr>
        <w:t>應再次以書面通知消費者，消費者於通知後三個月內仍未領回時，</w:t>
      </w:r>
      <w:r>
        <w:rPr>
          <w:rFonts w:ascii="標楷體" w:hAnsi="標楷體"/>
          <w:color w:val="000000"/>
          <w:sz w:val="28"/>
          <w:szCs w:val="28"/>
        </w:rPr>
        <w:t>骨灰（骸）存放設施經營業者</w:t>
      </w:r>
      <w:r>
        <w:rPr>
          <w:rFonts w:ascii="標楷體" w:hAnsi="標楷體"/>
          <w:color w:val="000000"/>
          <w:spacing w:val="16"/>
          <w:sz w:val="28"/>
          <w:szCs w:val="28"/>
        </w:rPr>
        <w:t>得將消費者之骨灰（骸）存放單位內</w:t>
      </w:r>
      <w:r>
        <w:rPr>
          <w:rFonts w:ascii="標楷體" w:hAnsi="標楷體"/>
          <w:color w:val="000000"/>
          <w:sz w:val="28"/>
          <w:szCs w:val="28"/>
        </w:rPr>
        <w:t>之</w:t>
      </w:r>
      <w:r>
        <w:rPr>
          <w:rFonts w:ascii="標楷體" w:hAnsi="標楷體"/>
          <w:color w:val="000000"/>
          <w:spacing w:val="16"/>
          <w:sz w:val="28"/>
          <w:szCs w:val="28"/>
        </w:rPr>
        <w:t>骨灰</w:t>
      </w:r>
      <w:r>
        <w:rPr>
          <w:rFonts w:ascii="標楷體" w:hAnsi="標楷體"/>
          <w:color w:val="000000"/>
          <w:spacing w:val="16"/>
          <w:sz w:val="28"/>
          <w:szCs w:val="28"/>
        </w:rPr>
        <w:t>(</w:t>
      </w:r>
      <w:r>
        <w:rPr>
          <w:rFonts w:ascii="標楷體" w:hAnsi="標楷體"/>
          <w:color w:val="000000"/>
          <w:spacing w:val="16"/>
          <w:sz w:val="28"/>
          <w:szCs w:val="28"/>
        </w:rPr>
        <w:t>骸</w:t>
      </w:r>
      <w:r>
        <w:rPr>
          <w:rFonts w:ascii="標楷體" w:hAnsi="標楷體"/>
          <w:color w:val="000000"/>
          <w:spacing w:val="16"/>
          <w:sz w:val="28"/>
          <w:szCs w:val="28"/>
        </w:rPr>
        <w:t>)</w:t>
      </w:r>
      <w:r>
        <w:rPr>
          <w:rFonts w:ascii="標楷體" w:hAnsi="標楷體"/>
          <w:color w:val="000000"/>
          <w:spacing w:val="16"/>
          <w:sz w:val="28"/>
          <w:szCs w:val="28"/>
        </w:rPr>
        <w:t>移除，並另為合法之處理。</w:t>
      </w:r>
    </w:p>
    <w:p>
      <w:pPr>
        <w:pStyle w:val="Normal"/>
        <w:spacing w:lineRule="exact" w:line="500" w:before="50" w:after="0"/>
        <w:jc w:val="distribute"/>
        <w:rPr/>
      </w:pPr>
      <w:r>
        <w:rPr>
          <w:rFonts w:ascii="標楷體" w:hAnsi="標楷體"/>
          <w:sz w:val="28"/>
          <w:szCs w:val="28"/>
        </w:rPr>
        <w:t>七、</w:t>
      </w:r>
      <w:r>
        <w:rPr>
          <w:rFonts w:ascii="標楷體" w:hAnsi="標楷體"/>
          <w:spacing w:val="16"/>
          <w:sz w:val="28"/>
          <w:szCs w:val="28"/>
        </w:rPr>
        <w:t>用途</w:t>
      </w:r>
    </w:p>
    <w:p>
      <w:pPr>
        <w:pStyle w:val="Normal"/>
        <w:spacing w:lineRule="exact" w:line="500" w:before="180" w:after="0"/>
        <w:ind w:left="538" w:right="113" w:hanging="0"/>
        <w:jc w:val="distribute"/>
        <w:rPr/>
      </w:pPr>
      <w:r>
        <w:rPr>
          <w:rFonts w:ascii="標楷體" w:hAnsi="標楷體"/>
          <w:spacing w:val="16"/>
          <w:sz w:val="28"/>
          <w:szCs w:val="28"/>
        </w:rPr>
        <w:t>消費者同意除供奉存放骨灰（骸）外，不得存放其他物品，違反約定時，應依</w:t>
      </w:r>
      <w:r>
        <w:rPr>
          <w:rFonts w:ascii="標楷體" w:hAnsi="標楷體"/>
          <w:color w:val="000000"/>
          <w:sz w:val="28"/>
          <w:szCs w:val="28"/>
        </w:rPr>
        <w:t>骨灰（骸）存放設施經營業者</w:t>
      </w:r>
      <w:r>
        <w:rPr>
          <w:rFonts w:ascii="標楷體" w:hAnsi="標楷體"/>
          <w:spacing w:val="16"/>
          <w:sz w:val="28"/>
          <w:szCs w:val="28"/>
        </w:rPr>
        <w:t>之通知將該物品除去；如</w:t>
      </w:r>
      <w:r>
        <w:rPr>
          <w:rFonts w:ascii="標楷體" w:hAnsi="標楷體"/>
          <w:color w:val="000000"/>
          <w:sz w:val="28"/>
          <w:szCs w:val="28"/>
        </w:rPr>
        <w:t>骨灰（骸）存放設施經營業者</w:t>
      </w:r>
      <w:r>
        <w:rPr>
          <w:rFonts w:ascii="標楷體" w:hAnsi="標楷體"/>
          <w:spacing w:val="16"/>
          <w:sz w:val="28"/>
          <w:szCs w:val="28"/>
        </w:rPr>
        <w:t>有合理可疑之證據，足認消費者所存放之物為違禁物時，得會同警察人員一起檢視，並依法處理。</w:t>
      </w:r>
    </w:p>
    <w:p>
      <w:pPr>
        <w:pStyle w:val="Normal"/>
        <w:spacing w:lineRule="exact" w:line="500" w:before="180" w:after="0"/>
        <w:ind w:left="512" w:right="0" w:hanging="538"/>
        <w:jc w:val="distribute"/>
        <w:rPr/>
      </w:pPr>
      <w:r>
        <w:rPr>
          <w:rFonts w:ascii="標楷體" w:hAnsi="標楷體"/>
          <w:color w:val="000000"/>
          <w:sz w:val="28"/>
          <w:szCs w:val="28"/>
        </w:rPr>
        <w:t>八、骨灰（骸）存放設施經營業者</w:t>
      </w:r>
      <w:r>
        <w:rPr>
          <w:rFonts w:ascii="標楷體" w:hAnsi="標楷體"/>
          <w:spacing w:val="16"/>
          <w:sz w:val="28"/>
          <w:szCs w:val="28"/>
        </w:rPr>
        <w:t>之維護義務</w:t>
      </w:r>
    </w:p>
    <w:p>
      <w:pPr>
        <w:pStyle w:val="Normal"/>
        <w:spacing w:lineRule="exact" w:line="500"/>
        <w:ind w:left="-1" w:right="0" w:hanging="28"/>
        <w:jc w:val="distribute"/>
        <w:rPr/>
      </w:pPr>
      <w:r>
        <w:rPr>
          <w:rFonts w:ascii="標楷體" w:hAnsi="標楷體"/>
          <w:spacing w:val="16"/>
          <w:sz w:val="28"/>
          <w:szCs w:val="28"/>
        </w:rPr>
        <w:t xml:space="preserve">   </w:t>
      </w:r>
      <w:r>
        <w:rPr>
          <w:rFonts w:ascii="標楷體" w:hAnsi="標楷體"/>
          <w:color w:val="000000"/>
          <w:sz w:val="28"/>
          <w:szCs w:val="28"/>
        </w:rPr>
        <w:t>骨灰（骸）存放設施經營業者應盡善良管理人之注意履行下列義務：</w:t>
      </w:r>
    </w:p>
    <w:p>
      <w:pPr>
        <w:pStyle w:val="Normal"/>
        <w:numPr>
          <w:ilvl w:val="0"/>
          <w:numId w:val="3"/>
        </w:numPr>
        <w:tabs>
          <w:tab w:val="clear" w:pos="480"/>
          <w:tab w:val="left" w:pos="855" w:leader="none"/>
        </w:tabs>
        <w:spacing w:lineRule="exact" w:line="500"/>
        <w:ind w:left="855" w:hanging="855"/>
        <w:jc w:val="distribute"/>
        <w:rPr>
          <w:rFonts w:ascii="標楷體" w:hAnsi="標楷體"/>
          <w:color w:val="000000"/>
          <w:spacing w:val="16"/>
          <w:sz w:val="28"/>
          <w:szCs w:val="28"/>
        </w:rPr>
      </w:pPr>
      <w:r>
        <w:rPr>
          <w:rFonts w:ascii="標楷體" w:hAnsi="標楷體"/>
          <w:color w:val="000000"/>
          <w:spacing w:val="16"/>
          <w:sz w:val="28"/>
          <w:szCs w:val="28"/>
        </w:rPr>
        <w:t>骨灰（骸）存放設施之修繕維護。</w:t>
      </w:r>
    </w:p>
    <w:p>
      <w:pPr>
        <w:pStyle w:val="Normal"/>
        <w:numPr>
          <w:ilvl w:val="0"/>
          <w:numId w:val="3"/>
        </w:numPr>
        <w:tabs>
          <w:tab w:val="clear" w:pos="480"/>
          <w:tab w:val="left" w:pos="855" w:leader="none"/>
        </w:tabs>
        <w:spacing w:lineRule="exact" w:line="500"/>
        <w:ind w:left="855" w:hanging="855"/>
        <w:jc w:val="distribute"/>
        <w:rPr>
          <w:rFonts w:ascii="標楷體" w:hAnsi="標楷體"/>
          <w:color w:val="000000"/>
          <w:spacing w:val="16"/>
          <w:sz w:val="28"/>
          <w:szCs w:val="28"/>
        </w:rPr>
      </w:pPr>
      <w:r>
        <w:rPr>
          <w:rFonts w:ascii="標楷體" w:hAnsi="標楷體"/>
          <w:color w:val="000000"/>
          <w:spacing w:val="16"/>
          <w:sz w:val="28"/>
          <w:szCs w:val="28"/>
        </w:rPr>
        <w:t>骨灰（骸）存放設施內外之定期保養維護。</w:t>
      </w:r>
    </w:p>
    <w:p>
      <w:pPr>
        <w:pStyle w:val="Normal"/>
        <w:numPr>
          <w:ilvl w:val="0"/>
          <w:numId w:val="3"/>
        </w:numPr>
        <w:tabs>
          <w:tab w:val="clear" w:pos="480"/>
          <w:tab w:val="left" w:pos="855" w:leader="none"/>
        </w:tabs>
        <w:spacing w:lineRule="exact" w:line="500"/>
        <w:ind w:left="855" w:hanging="855"/>
        <w:jc w:val="distribute"/>
        <w:rPr>
          <w:rFonts w:ascii="標楷體" w:hAnsi="標楷體"/>
          <w:color w:val="000000"/>
          <w:spacing w:val="16"/>
          <w:sz w:val="28"/>
          <w:szCs w:val="28"/>
        </w:rPr>
      </w:pPr>
      <w:r>
        <w:rPr>
          <w:rFonts w:ascii="標楷體" w:hAnsi="標楷體"/>
          <w:color w:val="000000"/>
          <w:spacing w:val="16"/>
          <w:sz w:val="28"/>
          <w:szCs w:val="28"/>
        </w:rPr>
        <w:t>骨灰（骸）存放設施之四週花木、植栽、修剪與環境衛生安全之保養維護。</w:t>
      </w:r>
    </w:p>
    <w:p>
      <w:pPr>
        <w:pStyle w:val="Normal"/>
        <w:numPr>
          <w:ilvl w:val="0"/>
          <w:numId w:val="3"/>
        </w:numPr>
        <w:tabs>
          <w:tab w:val="clear" w:pos="480"/>
          <w:tab w:val="left" w:pos="855" w:leader="none"/>
        </w:tabs>
        <w:spacing w:lineRule="exact" w:line="500"/>
        <w:ind w:left="855" w:hanging="855"/>
        <w:jc w:val="distribute"/>
        <w:rPr>
          <w:rFonts w:ascii="標楷體" w:hAnsi="標楷體"/>
          <w:color w:val="000000"/>
          <w:spacing w:val="16"/>
          <w:sz w:val="28"/>
          <w:szCs w:val="28"/>
        </w:rPr>
      </w:pPr>
      <w:r>
        <w:rPr>
          <w:rFonts w:ascii="標楷體" w:hAnsi="標楷體"/>
          <w:color w:val="000000"/>
          <w:spacing w:val="16"/>
          <w:sz w:val="28"/>
          <w:szCs w:val="28"/>
        </w:rPr>
        <w:t>骨灰（骸）存放設施內外照明等必要費用之支付。</w:t>
      </w:r>
    </w:p>
    <w:p>
      <w:pPr>
        <w:pStyle w:val="Normal"/>
        <w:numPr>
          <w:ilvl w:val="0"/>
          <w:numId w:val="3"/>
        </w:numPr>
        <w:tabs>
          <w:tab w:val="clear" w:pos="480"/>
          <w:tab w:val="left" w:pos="855" w:leader="none"/>
        </w:tabs>
        <w:spacing w:lineRule="exact" w:line="500"/>
        <w:ind w:left="855" w:hanging="855"/>
        <w:jc w:val="distribute"/>
        <w:rPr>
          <w:rFonts w:ascii="標楷體" w:hAnsi="標楷體"/>
          <w:color w:val="000000"/>
          <w:spacing w:val="16"/>
          <w:sz w:val="28"/>
          <w:szCs w:val="28"/>
        </w:rPr>
      </w:pPr>
      <w:r>
        <w:rPr>
          <w:rFonts w:ascii="標楷體" w:hAnsi="標楷體"/>
          <w:color w:val="000000"/>
          <w:spacing w:val="16"/>
          <w:sz w:val="28"/>
          <w:szCs w:val="28"/>
        </w:rPr>
        <w:t>骨灰（骸）存放設施之各樓層之清潔管理。</w:t>
      </w:r>
    </w:p>
    <w:p>
      <w:pPr>
        <w:pStyle w:val="Normal"/>
        <w:spacing w:lineRule="exact" w:line="500" w:before="180" w:after="0"/>
        <w:ind w:left="-1" w:right="0" w:hanging="28"/>
        <w:jc w:val="distribute"/>
        <w:rPr/>
      </w:pPr>
      <w:r>
        <w:rPr>
          <w:rFonts w:ascii="標楷體" w:hAnsi="標楷體"/>
          <w:color w:val="000000"/>
          <w:sz w:val="28"/>
          <w:szCs w:val="28"/>
        </w:rPr>
        <w:t>九、</w:t>
      </w:r>
      <w:r>
        <w:rPr>
          <w:rFonts w:ascii="標楷體" w:hAnsi="標楷體"/>
          <w:color w:val="000000"/>
          <w:sz w:val="28"/>
          <w:szCs w:val="28"/>
        </w:rPr>
        <w:t>骨灰（骸）存放設施經營業者之祭祀義務</w:t>
      </w:r>
    </w:p>
    <w:p>
      <w:pPr>
        <w:pStyle w:val="Normal"/>
        <w:spacing w:lineRule="exact" w:line="500"/>
        <w:ind w:left="539" w:right="0" w:hanging="179"/>
        <w:jc w:val="distribute"/>
        <w:rPr/>
      </w:pPr>
      <w:r>
        <w:rPr>
          <w:rFonts w:ascii="標楷體" w:hAnsi="標楷體"/>
          <w:color w:val="000000"/>
          <w:sz w:val="28"/>
          <w:szCs w:val="28"/>
        </w:rPr>
        <w:t xml:space="preserve"> </w:t>
      </w:r>
      <w:r>
        <w:rPr>
          <w:rFonts w:ascii="標楷體" w:hAnsi="標楷體"/>
          <w:color w:val="000000"/>
          <w:sz w:val="28"/>
          <w:szCs w:val="28"/>
        </w:rPr>
        <w:t>骨灰（骸）存放設施經營業者</w:t>
      </w:r>
      <w:r>
        <w:rPr>
          <w:rFonts w:ascii="標楷體" w:hAnsi="標楷體"/>
          <w:color w:val="000000"/>
          <w:spacing w:val="16"/>
          <w:sz w:val="28"/>
          <w:szCs w:val="28"/>
        </w:rPr>
        <w:t>應依契約附件之管理辦法所規定之方式，履行下列祭祀義務：</w:t>
      </w:r>
    </w:p>
    <w:p>
      <w:pPr>
        <w:pStyle w:val="Normal"/>
        <w:numPr>
          <w:ilvl w:val="0"/>
          <w:numId w:val="4"/>
        </w:numPr>
        <w:tabs>
          <w:tab w:val="clear" w:pos="480"/>
          <w:tab w:val="left" w:pos="1815" w:leader="none"/>
        </w:tabs>
        <w:spacing w:lineRule="exact" w:line="500"/>
        <w:ind w:left="1815" w:hanging="855"/>
        <w:jc w:val="distribute"/>
        <w:rPr>
          <w:rFonts w:ascii="標楷體" w:hAnsi="標楷體"/>
          <w:color w:val="000000"/>
          <w:spacing w:val="16"/>
          <w:sz w:val="28"/>
          <w:szCs w:val="28"/>
        </w:rPr>
      </w:pPr>
      <w:r>
        <w:rPr>
          <w:rFonts w:ascii="標楷體" w:hAnsi="標楷體"/>
          <w:color w:val="000000"/>
          <w:spacing w:val="16"/>
          <w:sz w:val="28"/>
          <w:szCs w:val="28"/>
        </w:rPr>
        <w:t>祭堂定時晉奉花果香燭。</w:t>
      </w:r>
    </w:p>
    <w:p>
      <w:pPr>
        <w:pStyle w:val="Normal"/>
        <w:numPr>
          <w:ilvl w:val="0"/>
          <w:numId w:val="4"/>
        </w:numPr>
        <w:tabs>
          <w:tab w:val="clear" w:pos="480"/>
          <w:tab w:val="left" w:pos="1815" w:leader="none"/>
        </w:tabs>
        <w:spacing w:lineRule="exact" w:line="500"/>
        <w:ind w:left="1815" w:hanging="855"/>
        <w:jc w:val="distribute"/>
        <w:rPr>
          <w:rFonts w:ascii="標楷體" w:hAnsi="標楷體"/>
          <w:color w:val="000000"/>
          <w:spacing w:val="16"/>
          <w:sz w:val="28"/>
          <w:szCs w:val="28"/>
        </w:rPr>
      </w:pPr>
      <w:r>
        <w:rPr>
          <w:rFonts w:ascii="標楷體" w:hAnsi="標楷體"/>
          <w:color w:val="000000"/>
          <w:spacing w:val="16"/>
          <w:sz w:val="28"/>
          <w:szCs w:val="28"/>
        </w:rPr>
        <w:t>每月定期舉辦宗教祭拜儀式。</w:t>
      </w:r>
    </w:p>
    <w:p>
      <w:pPr>
        <w:pStyle w:val="Normal"/>
        <w:numPr>
          <w:ilvl w:val="0"/>
          <w:numId w:val="4"/>
        </w:numPr>
        <w:tabs>
          <w:tab w:val="clear" w:pos="480"/>
          <w:tab w:val="left" w:pos="1815" w:leader="none"/>
        </w:tabs>
        <w:spacing w:lineRule="exact" w:line="500"/>
        <w:ind w:left="1815" w:hanging="855"/>
        <w:jc w:val="distribute"/>
        <w:rPr>
          <w:rFonts w:ascii="標楷體" w:hAnsi="標楷體"/>
          <w:color w:val="000000"/>
          <w:spacing w:val="16"/>
          <w:sz w:val="28"/>
          <w:szCs w:val="28"/>
        </w:rPr>
      </w:pPr>
      <w:r>
        <w:rPr>
          <w:rFonts w:ascii="標楷體" w:hAnsi="標楷體"/>
          <w:color w:val="000000"/>
          <w:spacing w:val="16"/>
          <w:sz w:val="28"/>
          <w:szCs w:val="28"/>
        </w:rPr>
        <w:t>每年春秋兩祀擴大舉行公祭。</w:t>
      </w:r>
    </w:p>
    <w:p>
      <w:pPr>
        <w:pStyle w:val="Normal"/>
        <w:spacing w:lineRule="exact" w:line="500"/>
        <w:ind w:left="-1" w:right="0" w:hanging="179"/>
        <w:jc w:val="distribute"/>
        <w:rPr/>
      </w:pPr>
      <w:r>
        <w:rPr>
          <w:rFonts w:ascii="標楷體" w:hAnsi="標楷體"/>
          <w:b/>
          <w:sz w:val="28"/>
          <w:szCs w:val="28"/>
        </w:rPr>
        <w:t xml:space="preserve"> </w:t>
      </w:r>
      <w:r>
        <w:rPr>
          <w:rFonts w:ascii="標楷體" w:hAnsi="標楷體"/>
          <w:sz w:val="28"/>
          <w:szCs w:val="28"/>
        </w:rPr>
        <w:t>十、</w:t>
      </w:r>
      <w:r>
        <w:rPr>
          <w:rFonts w:ascii="標楷體" w:hAnsi="標楷體"/>
          <w:color w:val="000000"/>
          <w:sz w:val="28"/>
          <w:szCs w:val="28"/>
        </w:rPr>
        <w:t>骨灰（骸）存放設施經營業者</w:t>
      </w:r>
      <w:r>
        <w:rPr>
          <w:rFonts w:ascii="標楷體" w:hAnsi="標楷體"/>
          <w:spacing w:val="16"/>
          <w:sz w:val="28"/>
          <w:szCs w:val="28"/>
        </w:rPr>
        <w:t>之通知義務</w:t>
      </w:r>
    </w:p>
    <w:p>
      <w:pPr>
        <w:pStyle w:val="Normal"/>
        <w:spacing w:lineRule="exact" w:line="500" w:before="180" w:after="0"/>
        <w:ind w:left="538" w:right="113" w:hanging="358"/>
        <w:jc w:val="distribute"/>
        <w:rPr/>
      </w:pPr>
      <w:r>
        <w:rPr>
          <w:rFonts w:ascii="標楷體" w:hAnsi="標楷體"/>
          <w:color w:val="000000"/>
          <w:sz w:val="28"/>
          <w:szCs w:val="28"/>
        </w:rPr>
        <w:t xml:space="preserve">   </w:t>
      </w:r>
      <w:r>
        <w:rPr>
          <w:rFonts w:ascii="標楷體" w:hAnsi="標楷體"/>
          <w:color w:val="000000"/>
          <w:sz w:val="28"/>
          <w:szCs w:val="28"/>
        </w:rPr>
        <w:t>骨灰（骸）存放設施經營業者</w:t>
      </w:r>
      <w:r>
        <w:rPr>
          <w:rFonts w:ascii="標楷體" w:hAnsi="標楷體"/>
          <w:color w:val="000000"/>
          <w:spacing w:val="16"/>
          <w:sz w:val="28"/>
          <w:szCs w:val="28"/>
        </w:rPr>
        <w:t>遇有</w:t>
      </w:r>
      <w:r>
        <w:rPr>
          <w:rFonts w:ascii="標楷體" w:hAnsi="標楷體"/>
          <w:color w:val="000000"/>
          <w:sz w:val="28"/>
          <w:szCs w:val="28"/>
        </w:rPr>
        <w:t>骨灰（骸）存放設施自然老舊不能修復或</w:t>
      </w:r>
      <w:r>
        <w:rPr>
          <w:rFonts w:ascii="標楷體" w:hAnsi="標楷體"/>
          <w:color w:val="000000"/>
          <w:spacing w:val="16"/>
          <w:sz w:val="28"/>
          <w:szCs w:val="28"/>
        </w:rPr>
        <w:t>於</w:t>
      </w:r>
      <w:r>
        <w:rPr>
          <w:rFonts w:ascii="標楷體" w:hAnsi="標楷體"/>
          <w:color w:val="000000"/>
          <w:sz w:val="28"/>
          <w:szCs w:val="28"/>
        </w:rPr>
        <w:t>骨灰（骸）存放單位內違反使用規定之情形、</w:t>
      </w:r>
      <w:r>
        <w:rPr>
          <w:rFonts w:ascii="標楷體" w:hAnsi="標楷體"/>
          <w:color w:val="000000"/>
          <w:spacing w:val="16"/>
          <w:sz w:val="28"/>
          <w:szCs w:val="28"/>
        </w:rPr>
        <w:t>骨</w:t>
      </w:r>
      <w:r>
        <w:rPr>
          <w:rFonts w:ascii="標楷體" w:hAnsi="標楷體"/>
          <w:color w:val="000000"/>
          <w:sz w:val="28"/>
          <w:szCs w:val="28"/>
        </w:rPr>
        <w:t>灰（骸）存放設施</w:t>
      </w:r>
      <w:r>
        <w:rPr>
          <w:rFonts w:ascii="標楷體" w:hAnsi="標楷體"/>
          <w:color w:val="000000"/>
          <w:spacing w:val="16"/>
          <w:sz w:val="28"/>
          <w:szCs w:val="28"/>
        </w:rPr>
        <w:t>之重大修繕、骨灰</w:t>
      </w:r>
      <w:r>
        <w:rPr>
          <w:rFonts w:ascii="標楷體" w:hAnsi="標楷體"/>
          <w:color w:val="000000"/>
          <w:sz w:val="28"/>
          <w:szCs w:val="28"/>
        </w:rPr>
        <w:t>（骸）</w:t>
      </w:r>
      <w:r>
        <w:rPr>
          <w:rFonts w:ascii="標楷體" w:hAnsi="標楷體"/>
          <w:color w:val="000000"/>
          <w:spacing w:val="16"/>
          <w:sz w:val="28"/>
          <w:szCs w:val="28"/>
        </w:rPr>
        <w:t>位置移動或容器翻覆或其他重要</w:t>
      </w:r>
      <w:r>
        <w:rPr>
          <w:rFonts w:ascii="標楷體" w:hAnsi="標楷體"/>
          <w:spacing w:val="16"/>
          <w:sz w:val="28"/>
          <w:szCs w:val="28"/>
        </w:rPr>
        <w:t>事項，應立即通知消費者。</w:t>
      </w:r>
    </w:p>
    <w:p>
      <w:pPr>
        <w:pStyle w:val="Normal"/>
        <w:spacing w:lineRule="exact" w:line="500" w:before="50" w:after="0"/>
        <w:ind w:left="0" w:right="0" w:hanging="180"/>
        <w:jc w:val="distribute"/>
        <w:rPr/>
      </w:pPr>
      <w:r>
        <w:rPr>
          <w:rFonts w:ascii="標楷體" w:hAnsi="標楷體"/>
          <w:b/>
          <w:color w:val="000000"/>
          <w:sz w:val="28"/>
          <w:szCs w:val="28"/>
        </w:rPr>
        <w:t xml:space="preserve">  </w:t>
      </w:r>
      <w:r>
        <w:rPr>
          <w:rFonts w:ascii="標楷體" w:hAnsi="標楷體"/>
          <w:color w:val="000000"/>
          <w:sz w:val="28"/>
          <w:szCs w:val="28"/>
        </w:rPr>
        <w:t>十一、</w:t>
      </w:r>
      <w:r>
        <w:rPr>
          <w:rFonts w:ascii="標楷體" w:hAnsi="標楷體"/>
          <w:color w:val="000000"/>
          <w:spacing w:val="16"/>
          <w:sz w:val="28"/>
          <w:szCs w:val="28"/>
        </w:rPr>
        <w:t>骨</w:t>
      </w:r>
      <w:r>
        <w:rPr>
          <w:rFonts w:ascii="標楷體" w:hAnsi="標楷體"/>
          <w:color w:val="000000"/>
          <w:sz w:val="28"/>
          <w:szCs w:val="28"/>
        </w:rPr>
        <w:t>灰（骸）存放單位</w:t>
      </w:r>
      <w:r>
        <w:rPr>
          <w:rFonts w:ascii="標楷體" w:hAnsi="標楷體"/>
          <w:color w:val="000000"/>
          <w:spacing w:val="16"/>
          <w:sz w:val="28"/>
          <w:szCs w:val="28"/>
        </w:rPr>
        <w:t>更動之限制</w:t>
      </w:r>
    </w:p>
    <w:p>
      <w:pPr>
        <w:pStyle w:val="Normal"/>
        <w:spacing w:lineRule="exact" w:line="500" w:before="180" w:after="0"/>
        <w:ind w:left="721" w:right="113" w:hanging="1"/>
        <w:jc w:val="distribute"/>
        <w:rPr/>
      </w:pPr>
      <w:r>
        <w:rPr>
          <w:rFonts w:ascii="標楷體" w:hAnsi="標楷體"/>
          <w:color w:val="000000"/>
          <w:spacing w:val="16"/>
          <w:sz w:val="28"/>
          <w:szCs w:val="28"/>
        </w:rPr>
        <w:t>骨</w:t>
      </w:r>
      <w:r>
        <w:rPr>
          <w:rFonts w:ascii="標楷體" w:hAnsi="標楷體"/>
          <w:color w:val="000000"/>
          <w:sz w:val="28"/>
          <w:szCs w:val="28"/>
        </w:rPr>
        <w:t>灰（骸）存放設施</w:t>
      </w:r>
      <w:r>
        <w:rPr>
          <w:rFonts w:ascii="標楷體" w:hAnsi="標楷體"/>
          <w:color w:val="000000"/>
          <w:spacing w:val="16"/>
          <w:sz w:val="28"/>
          <w:szCs w:val="28"/>
        </w:rPr>
        <w:t>同樓層存放單位之總數不得擅自增加；骨</w:t>
      </w:r>
      <w:r>
        <w:rPr>
          <w:rFonts w:ascii="標楷體" w:hAnsi="標楷體"/>
          <w:color w:val="000000"/>
          <w:sz w:val="28"/>
          <w:szCs w:val="28"/>
        </w:rPr>
        <w:t>灰（骸）</w:t>
      </w:r>
      <w:r>
        <w:rPr>
          <w:rFonts w:ascii="標楷體" w:hAnsi="標楷體"/>
          <w:color w:val="000000"/>
          <w:spacing w:val="16"/>
          <w:sz w:val="28"/>
          <w:szCs w:val="28"/>
        </w:rPr>
        <w:t>存放單位位置方向，未經消費者同意，不得擅自變更或移動。</w:t>
      </w:r>
    </w:p>
    <w:p>
      <w:pPr>
        <w:pStyle w:val="Normal"/>
        <w:spacing w:lineRule="exact" w:line="500" w:before="180" w:after="0"/>
        <w:ind w:left="843" w:right="0" w:hanging="869"/>
        <w:jc w:val="distribute"/>
        <w:rPr>
          <w:rFonts w:ascii="標楷體" w:hAnsi="標楷體"/>
          <w:b/>
          <w:color w:val="000000"/>
          <w:sz w:val="28"/>
          <w:szCs w:val="28"/>
        </w:rPr>
      </w:pPr>
      <w:r>
        <w:rPr>
          <w:rFonts w:ascii="標楷體" w:hAnsi="標楷體"/>
          <w:b/>
          <w:color w:val="000000"/>
          <w:sz w:val="28"/>
          <w:szCs w:val="28"/>
        </w:rPr>
        <w:t xml:space="preserve"> </w:t>
      </w:r>
      <w:r>
        <w:rPr>
          <w:rFonts w:ascii="標楷體" w:hAnsi="標楷體"/>
          <w:color w:val="000000"/>
          <w:sz w:val="28"/>
          <w:szCs w:val="28"/>
        </w:rPr>
        <w:t>十二、骨灰（骸）存放設施之開放時間</w:t>
      </w:r>
    </w:p>
    <w:p>
      <w:pPr>
        <w:pStyle w:val="Normal"/>
        <w:spacing w:lineRule="exact" w:line="500"/>
        <w:ind w:left="720" w:right="113" w:hanging="0"/>
        <w:jc w:val="distribute"/>
        <w:rPr/>
      </w:pPr>
      <w:r>
        <w:rPr>
          <w:rFonts w:ascii="標楷體" w:hAnsi="標楷體"/>
          <w:color w:val="000000"/>
          <w:spacing w:val="16"/>
          <w:sz w:val="28"/>
          <w:szCs w:val="28"/>
        </w:rPr>
        <w:t>本骨</w:t>
      </w:r>
      <w:r>
        <w:rPr>
          <w:rFonts w:ascii="標楷體" w:hAnsi="標楷體"/>
          <w:color w:val="000000"/>
          <w:sz w:val="28"/>
          <w:szCs w:val="28"/>
        </w:rPr>
        <w:t>灰（骸）存放設施</w:t>
      </w:r>
      <w:r>
        <w:rPr>
          <w:rFonts w:ascii="標楷體" w:hAnsi="標楷體"/>
          <w:color w:val="000000"/>
          <w:spacing w:val="16"/>
          <w:sz w:val="28"/>
          <w:szCs w:val="28"/>
        </w:rPr>
        <w:t>開放時間為上午○○時至下午○○時，  非開放時間，除因舉行骨灰</w:t>
      </w:r>
      <w:r>
        <w:rPr>
          <w:rFonts w:ascii="標楷體" w:hAnsi="標楷體"/>
          <w:color w:val="000000"/>
          <w:spacing w:val="16"/>
          <w:sz w:val="28"/>
          <w:szCs w:val="28"/>
        </w:rPr>
        <w:t>(</w:t>
      </w:r>
      <w:r>
        <w:rPr>
          <w:rFonts w:ascii="標楷體" w:hAnsi="標楷體"/>
          <w:color w:val="000000"/>
          <w:spacing w:val="16"/>
          <w:sz w:val="28"/>
          <w:szCs w:val="28"/>
        </w:rPr>
        <w:t>骸</w:t>
      </w:r>
      <w:r>
        <w:rPr>
          <w:rFonts w:ascii="標楷體" w:hAnsi="標楷體"/>
          <w:color w:val="000000"/>
          <w:spacing w:val="16"/>
          <w:sz w:val="28"/>
          <w:szCs w:val="28"/>
        </w:rPr>
        <w:t>)</w:t>
      </w:r>
      <w:r>
        <w:rPr>
          <w:rFonts w:ascii="標楷體" w:hAnsi="標楷體"/>
          <w:color w:val="000000"/>
          <w:spacing w:val="16"/>
          <w:sz w:val="28"/>
          <w:szCs w:val="28"/>
        </w:rPr>
        <w:t>安放儀式，消費者不得進入。</w:t>
      </w:r>
    </w:p>
    <w:p>
      <w:pPr>
        <w:pStyle w:val="Normal"/>
        <w:spacing w:lineRule="exact" w:line="500" w:before="180" w:after="0"/>
        <w:ind w:left="2" w:right="0" w:hanging="28"/>
        <w:jc w:val="distribute"/>
        <w:rPr/>
      </w:pPr>
      <w:r>
        <w:rPr>
          <w:rFonts w:ascii="標楷體" w:hAnsi="標楷體"/>
          <w:b/>
          <w:color w:val="000000"/>
          <w:sz w:val="28"/>
          <w:szCs w:val="28"/>
        </w:rPr>
        <w:t xml:space="preserve"> </w:t>
      </w:r>
      <w:r>
        <w:rPr>
          <w:rFonts w:ascii="標楷體" w:hAnsi="標楷體"/>
          <w:color w:val="000000"/>
          <w:sz w:val="28"/>
          <w:szCs w:val="28"/>
        </w:rPr>
        <w:t>十三、消費者</w:t>
      </w:r>
      <w:r>
        <w:rPr>
          <w:rFonts w:ascii="標楷體" w:hAnsi="標楷體"/>
          <w:color w:val="000000"/>
          <w:spacing w:val="16"/>
          <w:sz w:val="28"/>
          <w:szCs w:val="28"/>
        </w:rPr>
        <w:t>應遵守之義務</w:t>
      </w:r>
    </w:p>
    <w:p>
      <w:pPr>
        <w:pStyle w:val="Normal"/>
        <w:spacing w:lineRule="exact" w:line="500"/>
        <w:ind w:left="720" w:right="0" w:hanging="0"/>
        <w:jc w:val="distribute"/>
        <w:rPr/>
      </w:pPr>
      <w:r>
        <w:rPr>
          <w:rFonts w:ascii="標楷體" w:hAnsi="標楷體"/>
          <w:color w:val="000000"/>
          <w:spacing w:val="16"/>
          <w:sz w:val="28"/>
          <w:szCs w:val="28"/>
        </w:rPr>
        <w:t>為維護骨</w:t>
      </w:r>
      <w:r>
        <w:rPr>
          <w:rFonts w:ascii="標楷體" w:hAnsi="標楷體"/>
          <w:color w:val="000000"/>
          <w:sz w:val="28"/>
          <w:szCs w:val="28"/>
        </w:rPr>
        <w:t>灰（骸）存放設施</w:t>
      </w:r>
      <w:r>
        <w:rPr>
          <w:rFonts w:ascii="標楷體" w:hAnsi="標楷體"/>
          <w:color w:val="000000"/>
          <w:spacing w:val="16"/>
          <w:sz w:val="28"/>
          <w:szCs w:val="28"/>
        </w:rPr>
        <w:t>之安全與整潔，消費者應遵守下列事項：</w:t>
      </w:r>
    </w:p>
    <w:p>
      <w:pPr>
        <w:pStyle w:val="Normal"/>
        <w:numPr>
          <w:ilvl w:val="0"/>
          <w:numId w:val="6"/>
        </w:numPr>
        <w:tabs>
          <w:tab w:val="clear" w:pos="480"/>
          <w:tab w:val="left" w:pos="1815" w:leader="none"/>
        </w:tabs>
        <w:spacing w:lineRule="exact" w:line="500"/>
        <w:ind w:left="1815" w:hanging="855"/>
        <w:jc w:val="distribute"/>
        <w:rPr>
          <w:rFonts w:ascii="標楷體" w:hAnsi="標楷體"/>
          <w:color w:val="000000"/>
          <w:spacing w:val="16"/>
          <w:sz w:val="28"/>
          <w:szCs w:val="28"/>
        </w:rPr>
      </w:pPr>
      <w:r>
        <w:rPr>
          <w:rFonts w:ascii="標楷體" w:hAnsi="標楷體"/>
          <w:color w:val="000000"/>
          <w:spacing w:val="16"/>
          <w:sz w:val="28"/>
          <w:szCs w:val="28"/>
        </w:rPr>
        <w:t>骨灰（骸）存放前，應以容器嚴密封閉，以保持衛生。</w:t>
      </w:r>
    </w:p>
    <w:p>
      <w:pPr>
        <w:pStyle w:val="Normal"/>
        <w:numPr>
          <w:ilvl w:val="0"/>
          <w:numId w:val="6"/>
        </w:numPr>
        <w:tabs>
          <w:tab w:val="clear" w:pos="480"/>
          <w:tab w:val="left" w:pos="1815" w:leader="none"/>
        </w:tabs>
        <w:spacing w:lineRule="exact" w:line="500"/>
        <w:ind w:left="1815" w:hanging="855"/>
        <w:jc w:val="distribute"/>
        <w:rPr/>
      </w:pPr>
      <w:r>
        <w:rPr>
          <w:rFonts w:ascii="標楷體" w:hAnsi="標楷體"/>
          <w:color w:val="000000"/>
          <w:spacing w:val="16"/>
          <w:sz w:val="28"/>
          <w:szCs w:val="28"/>
        </w:rPr>
        <w:t>凡啟封骨灰（骸）存放單位面板，應事先通知</w:t>
      </w:r>
      <w:r>
        <w:rPr>
          <w:rFonts w:ascii="標楷體" w:hAnsi="標楷體"/>
          <w:color w:val="000000"/>
          <w:sz w:val="28"/>
          <w:szCs w:val="28"/>
        </w:rPr>
        <w:t>骨灰（骸）存放設施經營業者</w:t>
      </w:r>
      <w:r>
        <w:rPr>
          <w:rFonts w:ascii="標楷體" w:hAnsi="標楷體"/>
          <w:color w:val="000000"/>
          <w:spacing w:val="16"/>
          <w:sz w:val="28"/>
          <w:szCs w:val="28"/>
        </w:rPr>
        <w:t>，由其為之。</w:t>
      </w:r>
    </w:p>
    <w:p>
      <w:pPr>
        <w:pStyle w:val="Normal"/>
        <w:numPr>
          <w:ilvl w:val="0"/>
          <w:numId w:val="6"/>
        </w:numPr>
        <w:tabs>
          <w:tab w:val="clear" w:pos="480"/>
          <w:tab w:val="left" w:pos="1815" w:leader="none"/>
        </w:tabs>
        <w:spacing w:lineRule="exact" w:line="500"/>
        <w:ind w:left="1815" w:hanging="855"/>
        <w:jc w:val="distribute"/>
        <w:rPr/>
      </w:pPr>
      <w:r>
        <w:rPr>
          <w:rFonts w:ascii="標楷體" w:hAnsi="標楷體"/>
          <w:color w:val="000000"/>
          <w:spacing w:val="16"/>
          <w:sz w:val="28"/>
          <w:szCs w:val="28"/>
        </w:rPr>
        <w:t>進入骨灰（骸）存放設施時，應向</w:t>
      </w:r>
      <w:r>
        <w:rPr>
          <w:rFonts w:ascii="標楷體" w:hAnsi="標楷體"/>
          <w:color w:val="000000"/>
          <w:sz w:val="28"/>
          <w:szCs w:val="28"/>
        </w:rPr>
        <w:t>骨灰（骸）存放設施經營業者</w:t>
      </w:r>
      <w:r>
        <w:rPr>
          <w:rFonts w:ascii="標楷體" w:hAnsi="標楷體"/>
          <w:color w:val="000000"/>
          <w:spacing w:val="16"/>
          <w:sz w:val="28"/>
          <w:szCs w:val="28"/>
        </w:rPr>
        <w:t>管理人員登記。</w:t>
      </w:r>
    </w:p>
    <w:p>
      <w:pPr>
        <w:pStyle w:val="Normal"/>
        <w:numPr>
          <w:ilvl w:val="0"/>
          <w:numId w:val="6"/>
        </w:numPr>
        <w:tabs>
          <w:tab w:val="clear" w:pos="480"/>
          <w:tab w:val="left" w:pos="1815" w:leader="none"/>
        </w:tabs>
        <w:spacing w:lineRule="exact" w:line="500"/>
        <w:ind w:left="1815" w:hanging="855"/>
        <w:jc w:val="distribute"/>
        <w:rPr>
          <w:rFonts w:ascii="標楷體" w:hAnsi="標楷體"/>
          <w:color w:val="000000"/>
          <w:spacing w:val="16"/>
          <w:sz w:val="28"/>
          <w:szCs w:val="28"/>
        </w:rPr>
      </w:pPr>
      <w:r>
        <w:rPr>
          <w:rFonts w:ascii="標楷體" w:hAnsi="標楷體"/>
          <w:color w:val="000000"/>
          <w:spacing w:val="16"/>
          <w:sz w:val="28"/>
          <w:szCs w:val="28"/>
        </w:rPr>
        <w:t>祭品應擺設在指定位置，廢棄物不得任意丟棄。</w:t>
      </w:r>
    </w:p>
    <w:p>
      <w:pPr>
        <w:pStyle w:val="Normal"/>
        <w:numPr>
          <w:ilvl w:val="0"/>
          <w:numId w:val="6"/>
        </w:numPr>
        <w:tabs>
          <w:tab w:val="clear" w:pos="480"/>
          <w:tab w:val="left" w:pos="1815" w:leader="none"/>
        </w:tabs>
        <w:spacing w:lineRule="exact" w:line="500"/>
        <w:ind w:left="1815" w:hanging="855"/>
        <w:jc w:val="distribute"/>
        <w:rPr/>
      </w:pPr>
      <w:r>
        <w:rPr>
          <w:rFonts w:ascii="標楷體" w:hAnsi="標楷體"/>
          <w:color w:val="000000"/>
          <w:spacing w:val="16"/>
          <w:sz w:val="28"/>
          <w:szCs w:val="28"/>
        </w:rPr>
        <w:t>入內追思祭拜應遵守</w:t>
      </w:r>
      <w:r>
        <w:rPr>
          <w:rFonts w:ascii="標楷體" w:hAnsi="標楷體"/>
          <w:color w:val="000000"/>
          <w:sz w:val="28"/>
          <w:szCs w:val="28"/>
        </w:rPr>
        <w:t>骨灰（骸）存放設施經營業者</w:t>
      </w:r>
      <w:r>
        <w:rPr>
          <w:rFonts w:ascii="標楷體" w:hAnsi="標楷體"/>
          <w:color w:val="000000"/>
          <w:spacing w:val="16"/>
          <w:sz w:val="28"/>
          <w:szCs w:val="28"/>
        </w:rPr>
        <w:t>之規定。</w:t>
      </w:r>
    </w:p>
    <w:p>
      <w:pPr>
        <w:pStyle w:val="Normal"/>
        <w:numPr>
          <w:ilvl w:val="0"/>
          <w:numId w:val="6"/>
        </w:numPr>
        <w:tabs>
          <w:tab w:val="clear" w:pos="480"/>
          <w:tab w:val="left" w:pos="1815" w:leader="none"/>
        </w:tabs>
        <w:spacing w:lineRule="exact" w:line="500"/>
        <w:ind w:left="1815" w:hanging="855"/>
        <w:jc w:val="distribute"/>
        <w:rPr>
          <w:rFonts w:ascii="標楷體" w:hAnsi="標楷體"/>
          <w:color w:val="000000"/>
          <w:spacing w:val="16"/>
          <w:sz w:val="28"/>
          <w:szCs w:val="28"/>
        </w:rPr>
      </w:pPr>
      <w:r>
        <w:rPr>
          <w:rFonts w:ascii="標楷體" w:hAnsi="標楷體"/>
          <w:color w:val="000000"/>
          <w:spacing w:val="16"/>
          <w:sz w:val="28"/>
          <w:szCs w:val="28"/>
        </w:rPr>
        <w:t>骨灰（骸）存放設施內不得吸煙及不得攜帶易燃物品進入。</w:t>
      </w:r>
    </w:p>
    <w:p>
      <w:pPr>
        <w:pStyle w:val="Normal"/>
        <w:numPr>
          <w:ilvl w:val="0"/>
          <w:numId w:val="6"/>
        </w:numPr>
        <w:tabs>
          <w:tab w:val="clear" w:pos="480"/>
          <w:tab w:val="left" w:pos="1815" w:leader="none"/>
        </w:tabs>
        <w:spacing w:lineRule="exact" w:line="500"/>
        <w:ind w:left="1815" w:hanging="855"/>
        <w:jc w:val="distribute"/>
        <w:rPr/>
      </w:pPr>
      <w:r>
        <w:rPr>
          <w:rFonts w:ascii="標楷體" w:hAnsi="標楷體"/>
          <w:color w:val="000000"/>
          <w:sz w:val="28"/>
          <w:szCs w:val="28"/>
        </w:rPr>
        <w:t>其他：</w:t>
      </w:r>
      <w:r>
        <w:rPr>
          <w:rFonts w:ascii="標楷體" w:hAnsi="標楷體"/>
          <w:color w:val="000000"/>
          <w:spacing w:val="16"/>
          <w:sz w:val="28"/>
          <w:szCs w:val="28"/>
        </w:rPr>
        <w:t xml:space="preserve"> </w:t>
      </w:r>
    </w:p>
    <w:p>
      <w:pPr>
        <w:pStyle w:val="Normal"/>
        <w:spacing w:lineRule="exact" w:line="500" w:before="180" w:after="0"/>
        <w:ind w:left="843" w:right="0" w:hanging="869"/>
        <w:jc w:val="distribute"/>
        <w:rPr/>
      </w:pPr>
      <w:r>
        <w:rPr>
          <w:rFonts w:ascii="標楷體" w:hAnsi="標楷體"/>
          <w:b/>
          <w:color w:val="000000"/>
          <w:sz w:val="28"/>
          <w:szCs w:val="28"/>
        </w:rPr>
        <w:t xml:space="preserve"> </w:t>
      </w:r>
      <w:r>
        <w:rPr>
          <w:rFonts w:ascii="標楷體" w:hAnsi="標楷體"/>
          <w:color w:val="000000"/>
          <w:sz w:val="28"/>
          <w:szCs w:val="28"/>
        </w:rPr>
        <w:t>十四、</w:t>
      </w:r>
      <w:r>
        <w:rPr>
          <w:rFonts w:ascii="標楷體" w:hAnsi="標楷體"/>
          <w:color w:val="000000"/>
          <w:spacing w:val="16"/>
          <w:sz w:val="28"/>
          <w:szCs w:val="28"/>
        </w:rPr>
        <w:t>合法經營之擔保及證明</w:t>
      </w:r>
    </w:p>
    <w:p>
      <w:pPr>
        <w:pStyle w:val="Normal"/>
        <w:spacing w:lineRule="exact" w:line="500"/>
        <w:ind w:left="720" w:right="-26" w:hanging="0"/>
        <w:jc w:val="distribute"/>
        <w:rPr/>
      </w:pPr>
      <w:r>
        <w:rPr>
          <w:rFonts w:ascii="標楷體" w:hAnsi="標楷體"/>
          <w:color w:val="000000"/>
          <w:sz w:val="28"/>
          <w:szCs w:val="28"/>
        </w:rPr>
        <w:t>骨灰（骸）存放設施經營業者</w:t>
      </w:r>
      <w:r>
        <w:rPr>
          <w:rFonts w:ascii="標楷體" w:hAnsi="標楷體"/>
          <w:color w:val="000000"/>
          <w:spacing w:val="16"/>
          <w:sz w:val="28"/>
          <w:szCs w:val="28"/>
        </w:rPr>
        <w:t>應擔保其係合法經營骨</w:t>
      </w:r>
      <w:r>
        <w:rPr>
          <w:rFonts w:ascii="標楷體" w:hAnsi="標楷體"/>
          <w:color w:val="000000"/>
          <w:sz w:val="28"/>
          <w:szCs w:val="28"/>
        </w:rPr>
        <w:t>灰（骸）存放設施</w:t>
      </w:r>
      <w:r>
        <w:rPr>
          <w:rFonts w:ascii="標楷體" w:hAnsi="標楷體"/>
          <w:color w:val="000000"/>
          <w:spacing w:val="16"/>
          <w:sz w:val="28"/>
          <w:szCs w:val="28"/>
        </w:rPr>
        <w:t>，且其</w:t>
      </w:r>
      <w:r>
        <w:rPr>
          <w:rFonts w:ascii="標楷體" w:hAnsi="標楷體"/>
          <w:color w:val="000000"/>
          <w:sz w:val="28"/>
          <w:szCs w:val="28"/>
        </w:rPr>
        <w:t>存放設施</w:t>
      </w:r>
      <w:r>
        <w:rPr>
          <w:rFonts w:ascii="標楷體" w:hAnsi="標楷體"/>
          <w:color w:val="000000"/>
          <w:spacing w:val="16"/>
          <w:sz w:val="28"/>
          <w:szCs w:val="28"/>
        </w:rPr>
        <w:t>係合法設置、擴充、增建、改建、啟用及使用。</w:t>
      </w:r>
    </w:p>
    <w:p>
      <w:pPr>
        <w:pStyle w:val="Normal"/>
        <w:spacing w:lineRule="exact" w:line="500"/>
        <w:ind w:left="720" w:right="0" w:hanging="0"/>
        <w:jc w:val="distribute"/>
        <w:rPr/>
      </w:pPr>
      <w:r>
        <w:rPr>
          <w:rFonts w:ascii="標楷體" w:hAnsi="標楷體"/>
          <w:color w:val="000000"/>
          <w:sz w:val="28"/>
          <w:szCs w:val="28"/>
        </w:rPr>
        <w:t>骨灰（骸）存放設施經營業者</w:t>
      </w:r>
      <w:r>
        <w:rPr>
          <w:rFonts w:ascii="標楷體" w:hAnsi="標楷體"/>
          <w:color w:val="000000"/>
          <w:spacing w:val="16"/>
          <w:sz w:val="28"/>
          <w:szCs w:val="28"/>
        </w:rPr>
        <w:t>應備置下列相關文件影本，供消費者隨時查閱：</w:t>
      </w:r>
    </w:p>
    <w:p>
      <w:pPr>
        <w:pStyle w:val="Normal"/>
        <w:numPr>
          <w:ilvl w:val="0"/>
          <w:numId w:val="5"/>
        </w:numPr>
        <w:tabs>
          <w:tab w:val="clear" w:pos="480"/>
          <w:tab w:val="left" w:pos="1215" w:leader="none"/>
        </w:tabs>
        <w:spacing w:lineRule="exact" w:line="500"/>
        <w:ind w:left="1215" w:hanging="855"/>
        <w:jc w:val="distribute"/>
        <w:rPr>
          <w:rFonts w:ascii="標楷體" w:hAnsi="標楷體"/>
          <w:spacing w:val="16"/>
          <w:sz w:val="28"/>
          <w:szCs w:val="28"/>
        </w:rPr>
      </w:pPr>
      <w:r>
        <w:rPr>
          <w:rFonts w:ascii="標楷體" w:hAnsi="標楷體"/>
          <w:spacing w:val="16"/>
          <w:sz w:val="28"/>
          <w:szCs w:val="28"/>
        </w:rPr>
        <w:t>公司執照、商業登記或法人登記證明文件。</w:t>
      </w:r>
    </w:p>
    <w:p>
      <w:pPr>
        <w:pStyle w:val="Normal"/>
        <w:numPr>
          <w:ilvl w:val="0"/>
          <w:numId w:val="5"/>
        </w:numPr>
        <w:tabs>
          <w:tab w:val="clear" w:pos="480"/>
          <w:tab w:val="left" w:pos="1215" w:leader="none"/>
        </w:tabs>
        <w:spacing w:lineRule="exact" w:line="500"/>
        <w:ind w:left="1215" w:hanging="855"/>
        <w:jc w:val="distribute"/>
        <w:rPr>
          <w:rFonts w:ascii="標楷體" w:hAnsi="標楷體"/>
          <w:spacing w:val="16"/>
          <w:sz w:val="28"/>
          <w:szCs w:val="28"/>
        </w:rPr>
      </w:pPr>
      <w:r>
        <w:rPr>
          <w:rFonts w:ascii="標楷體" w:hAnsi="標楷體"/>
          <w:spacing w:val="16"/>
          <w:sz w:val="28"/>
          <w:szCs w:val="28"/>
        </w:rPr>
        <w:t>營利事業登記證明文件。</w:t>
      </w:r>
    </w:p>
    <w:p>
      <w:pPr>
        <w:pStyle w:val="Normal"/>
        <w:numPr>
          <w:ilvl w:val="0"/>
          <w:numId w:val="5"/>
        </w:numPr>
        <w:tabs>
          <w:tab w:val="clear" w:pos="480"/>
          <w:tab w:val="left" w:pos="1215" w:leader="none"/>
        </w:tabs>
        <w:spacing w:lineRule="exact" w:line="500"/>
        <w:ind w:left="1215" w:hanging="855"/>
        <w:jc w:val="distribute"/>
        <w:rPr>
          <w:rFonts w:ascii="標楷體" w:hAnsi="標楷體"/>
          <w:spacing w:val="16"/>
          <w:sz w:val="28"/>
          <w:szCs w:val="28"/>
        </w:rPr>
      </w:pPr>
      <w:r>
        <w:rPr>
          <w:rFonts w:ascii="標楷體" w:hAnsi="標楷體"/>
          <w:spacing w:val="16"/>
          <w:sz w:val="28"/>
          <w:szCs w:val="28"/>
        </w:rPr>
        <w:t>核准設置文件。</w:t>
      </w:r>
    </w:p>
    <w:p>
      <w:pPr>
        <w:pStyle w:val="Normal"/>
        <w:numPr>
          <w:ilvl w:val="0"/>
          <w:numId w:val="5"/>
        </w:numPr>
        <w:tabs>
          <w:tab w:val="clear" w:pos="480"/>
          <w:tab w:val="left" w:pos="1215" w:leader="none"/>
        </w:tabs>
        <w:spacing w:lineRule="exact" w:line="500"/>
        <w:ind w:left="1215" w:hanging="855"/>
        <w:jc w:val="distribute"/>
        <w:rPr>
          <w:rFonts w:ascii="標楷體" w:hAnsi="標楷體"/>
          <w:spacing w:val="16"/>
          <w:sz w:val="28"/>
          <w:szCs w:val="28"/>
        </w:rPr>
      </w:pPr>
      <w:r>
        <w:rPr>
          <w:rFonts w:ascii="標楷體" w:hAnsi="標楷體"/>
          <w:spacing w:val="16"/>
          <w:sz w:val="28"/>
          <w:szCs w:val="28"/>
        </w:rPr>
        <w:t>建造執照。</w:t>
      </w:r>
    </w:p>
    <w:p>
      <w:pPr>
        <w:pStyle w:val="Normal"/>
        <w:numPr>
          <w:ilvl w:val="0"/>
          <w:numId w:val="5"/>
        </w:numPr>
        <w:tabs>
          <w:tab w:val="clear" w:pos="480"/>
          <w:tab w:val="left" w:pos="1215" w:leader="none"/>
        </w:tabs>
        <w:spacing w:lineRule="exact" w:line="500"/>
        <w:ind w:left="1215" w:hanging="855"/>
        <w:jc w:val="distribute"/>
        <w:rPr>
          <w:rFonts w:ascii="標楷體" w:hAnsi="標楷體"/>
          <w:spacing w:val="16"/>
          <w:sz w:val="28"/>
          <w:szCs w:val="28"/>
        </w:rPr>
      </w:pPr>
      <w:r>
        <w:rPr>
          <w:rFonts w:ascii="標楷體" w:hAnsi="標楷體"/>
          <w:spacing w:val="16"/>
          <w:sz w:val="28"/>
          <w:szCs w:val="28"/>
        </w:rPr>
        <w:t>使用執照。</w:t>
      </w:r>
    </w:p>
    <w:p>
      <w:pPr>
        <w:pStyle w:val="Normal"/>
        <w:numPr>
          <w:ilvl w:val="0"/>
          <w:numId w:val="5"/>
        </w:numPr>
        <w:tabs>
          <w:tab w:val="clear" w:pos="480"/>
          <w:tab w:val="left" w:pos="1215" w:leader="none"/>
        </w:tabs>
        <w:spacing w:lineRule="exact" w:line="500"/>
        <w:ind w:left="1215" w:hanging="855"/>
        <w:jc w:val="distribute"/>
        <w:rPr>
          <w:rFonts w:ascii="標楷體" w:hAnsi="標楷體"/>
          <w:spacing w:val="16"/>
          <w:sz w:val="28"/>
          <w:szCs w:val="28"/>
        </w:rPr>
      </w:pPr>
      <w:r>
        <w:rPr>
          <w:rFonts w:ascii="標楷體" w:hAnsi="標楷體"/>
          <w:spacing w:val="16"/>
          <w:sz w:val="28"/>
          <w:szCs w:val="28"/>
        </w:rPr>
        <w:t>核准啟用文件。</w:t>
      </w:r>
    </w:p>
    <w:p>
      <w:pPr>
        <w:pStyle w:val="Normal"/>
        <w:numPr>
          <w:ilvl w:val="0"/>
          <w:numId w:val="5"/>
        </w:numPr>
        <w:tabs>
          <w:tab w:val="clear" w:pos="480"/>
          <w:tab w:val="left" w:pos="1215" w:leader="none"/>
        </w:tabs>
        <w:spacing w:lineRule="exact" w:line="500"/>
        <w:ind w:left="1215" w:hanging="855"/>
        <w:jc w:val="distribute"/>
        <w:rPr/>
      </w:pPr>
      <w:r>
        <w:rPr>
          <w:rFonts w:ascii="標楷體" w:hAnsi="標楷體"/>
          <w:color w:val="000000"/>
          <w:spacing w:val="16"/>
          <w:sz w:val="28"/>
          <w:szCs w:val="28"/>
        </w:rPr>
        <w:t>殯葬設施經營業經營許可文件</w:t>
      </w:r>
      <w:r>
        <w:rPr>
          <w:rFonts w:ascii="標楷體" w:hAnsi="標楷體"/>
          <w:spacing w:val="16"/>
          <w:sz w:val="28"/>
          <w:szCs w:val="28"/>
        </w:rPr>
        <w:t>。</w:t>
      </w:r>
    </w:p>
    <w:p>
      <w:pPr>
        <w:pStyle w:val="Normal"/>
        <w:spacing w:lineRule="exact" w:line="500"/>
        <w:ind w:left="720" w:right="0" w:hanging="0"/>
        <w:jc w:val="distribute"/>
        <w:rPr>
          <w:rFonts w:ascii="標楷體" w:hAnsi="標楷體"/>
          <w:spacing w:val="16"/>
          <w:sz w:val="28"/>
          <w:szCs w:val="28"/>
        </w:rPr>
      </w:pPr>
      <w:r>
        <w:rPr>
          <w:rFonts w:ascii="標楷體" w:hAnsi="標楷體"/>
          <w:spacing w:val="16"/>
          <w:sz w:val="28"/>
          <w:szCs w:val="28"/>
        </w:rPr>
      </w:r>
    </w:p>
    <w:p>
      <w:pPr>
        <w:pStyle w:val="Normal"/>
        <w:spacing w:lineRule="exact" w:line="500" w:before="50" w:after="0"/>
        <w:ind w:left="-26" w:right="0" w:firstLine="2"/>
        <w:jc w:val="distribute"/>
        <w:rPr>
          <w:rFonts w:ascii="標楷體" w:hAnsi="標楷體"/>
          <w:b/>
          <w:color w:val="000000"/>
          <w:sz w:val="28"/>
          <w:szCs w:val="28"/>
        </w:rPr>
      </w:pPr>
      <w:r>
        <w:rPr>
          <w:rFonts w:ascii="標楷體" w:hAnsi="標楷體"/>
          <w:b/>
          <w:color w:val="000000"/>
          <w:sz w:val="28"/>
          <w:szCs w:val="28"/>
        </w:rPr>
        <w:t xml:space="preserve"> </w:t>
      </w:r>
      <w:r>
        <w:rPr>
          <w:rFonts w:ascii="標楷體" w:hAnsi="標楷體"/>
          <w:color w:val="000000"/>
          <w:sz w:val="28"/>
          <w:szCs w:val="28"/>
        </w:rPr>
        <w:t>十五、管理費支付及發票之開立</w:t>
      </w:r>
    </w:p>
    <w:p>
      <w:pPr>
        <w:pStyle w:val="Normal"/>
        <w:spacing w:lineRule="exact" w:line="500"/>
        <w:ind w:left="720" w:right="0" w:hanging="0"/>
        <w:jc w:val="distribute"/>
        <w:rPr/>
      </w:pPr>
      <w:r>
        <w:rPr>
          <w:rFonts w:ascii="標楷體" w:hAnsi="標楷體"/>
          <w:color w:val="000000"/>
          <w:sz w:val="28"/>
          <w:szCs w:val="28"/>
        </w:rPr>
        <w:t>骨灰（骸）存放單位之管理費得否收取，及收取之計算時點，於消費者與骨灰（骸）存放設施經營業者</w:t>
      </w:r>
      <w:r>
        <w:rPr>
          <w:rFonts w:ascii="標楷體" w:hAnsi="標楷體"/>
          <w:color w:val="000000"/>
          <w:spacing w:val="16"/>
          <w:sz w:val="28"/>
          <w:szCs w:val="28"/>
        </w:rPr>
        <w:t>雙方</w:t>
      </w:r>
      <w:r>
        <w:rPr>
          <w:rFonts w:ascii="標楷體" w:hAnsi="標楷體"/>
          <w:color w:val="000000"/>
          <w:sz w:val="28"/>
          <w:szCs w:val="28"/>
        </w:rPr>
        <w:t>簽約時約定之。</w:t>
      </w:r>
    </w:p>
    <w:p>
      <w:pPr>
        <w:pStyle w:val="Normal"/>
        <w:spacing w:lineRule="exact" w:line="500" w:before="180" w:after="0"/>
        <w:ind w:left="720" w:right="0" w:hanging="0"/>
        <w:jc w:val="distribute"/>
        <w:rPr/>
      </w:pPr>
      <w:r>
        <w:rPr>
          <w:rFonts w:ascii="標楷體" w:hAnsi="標楷體"/>
          <w:sz w:val="28"/>
          <w:szCs w:val="28"/>
        </w:rPr>
        <w:t>骨灰</w:t>
      </w:r>
      <w:r>
        <w:rPr>
          <w:rFonts w:ascii="標楷體" w:hAnsi="標楷體"/>
          <w:spacing w:val="16"/>
          <w:sz w:val="28"/>
          <w:szCs w:val="28"/>
        </w:rPr>
        <w:t>（骸）存放設施業者對消費者所繳納之款項，應開立統一發票。</w:t>
      </w:r>
    </w:p>
    <w:p>
      <w:pPr>
        <w:pStyle w:val="Normal"/>
        <w:spacing w:lineRule="exact" w:line="500" w:before="180" w:after="0"/>
        <w:ind w:left="149" w:right="0" w:hanging="149"/>
        <w:jc w:val="distribute"/>
        <w:rPr/>
      </w:pPr>
      <w:r>
        <w:rPr>
          <w:rFonts w:ascii="標楷體" w:hAnsi="標楷體"/>
          <w:b/>
          <w:color w:val="000000"/>
          <w:sz w:val="28"/>
          <w:szCs w:val="28"/>
        </w:rPr>
        <w:t xml:space="preserve"> </w:t>
      </w:r>
      <w:r>
        <w:rPr>
          <w:rFonts w:ascii="標楷體" w:hAnsi="標楷體"/>
          <w:color w:val="000000"/>
          <w:sz w:val="28"/>
          <w:szCs w:val="28"/>
        </w:rPr>
        <w:t>十六、</w:t>
      </w:r>
      <w:r>
        <w:rPr>
          <w:rFonts w:ascii="標楷體" w:hAnsi="標楷體"/>
          <w:spacing w:val="16"/>
          <w:sz w:val="28"/>
          <w:szCs w:val="28"/>
        </w:rPr>
        <w:t>使用權證明</w:t>
      </w:r>
    </w:p>
    <w:p>
      <w:pPr>
        <w:pStyle w:val="Normal"/>
        <w:spacing w:lineRule="exact" w:line="500" w:before="180" w:after="0"/>
        <w:ind w:left="720" w:right="0" w:hanging="2"/>
        <w:jc w:val="distribute"/>
        <w:rPr/>
      </w:pPr>
      <w:r>
        <w:rPr>
          <w:rFonts w:ascii="標楷體" w:hAnsi="標楷體"/>
          <w:color w:val="000000"/>
          <w:sz w:val="28"/>
          <w:szCs w:val="28"/>
        </w:rPr>
        <w:t>骨灰（骸）存放設施經營業者</w:t>
      </w:r>
      <w:r>
        <w:rPr>
          <w:rFonts w:ascii="標楷體" w:hAnsi="標楷體"/>
          <w:color w:val="000000"/>
          <w:spacing w:val="16"/>
          <w:sz w:val="28"/>
          <w:szCs w:val="28"/>
        </w:rPr>
        <w:t>應於消費者依約定繳</w:t>
      </w:r>
      <w:r>
        <w:rPr>
          <w:rFonts w:ascii="標楷體" w:hAnsi="標楷體"/>
          <w:color w:val="000000"/>
          <w:sz w:val="28"/>
          <w:szCs w:val="28"/>
        </w:rPr>
        <w:t>骨灰（骸）存放單位</w:t>
      </w:r>
      <w:r>
        <w:rPr>
          <w:rFonts w:ascii="標楷體" w:hAnsi="標楷體"/>
          <w:color w:val="000000"/>
          <w:spacing w:val="16"/>
          <w:sz w:val="28"/>
          <w:szCs w:val="28"/>
        </w:rPr>
        <w:t>使用權之價金後，交付使用權證明予消費者。但其價金分期繳納者，於繳納第○○期價金後交付之。</w:t>
      </w:r>
    </w:p>
    <w:p>
      <w:pPr>
        <w:pStyle w:val="Normal"/>
        <w:spacing w:lineRule="exact" w:line="500" w:before="180" w:after="0"/>
        <w:ind w:left="720" w:right="0" w:firstLine="19"/>
        <w:jc w:val="distribute"/>
        <w:rPr/>
      </w:pPr>
      <w:r>
        <w:rPr>
          <w:rFonts w:ascii="標楷體" w:hAnsi="標楷體"/>
          <w:color w:val="000000"/>
          <w:spacing w:val="16"/>
          <w:sz w:val="28"/>
          <w:szCs w:val="28"/>
        </w:rPr>
        <w:t>前項使用權證明應編號，載明使用權人姓名、國民身分證統一編號；契約標的所在位置及同樓層存放單位總數；使用期間；購買日期及骨</w:t>
      </w:r>
      <w:r>
        <w:rPr>
          <w:rFonts w:ascii="標楷體" w:hAnsi="標楷體"/>
          <w:color w:val="000000"/>
          <w:sz w:val="28"/>
          <w:szCs w:val="28"/>
        </w:rPr>
        <w:t>灰（骸）存放單位</w:t>
      </w:r>
      <w:r>
        <w:rPr>
          <w:rFonts w:ascii="標楷體" w:hAnsi="標楷體"/>
          <w:color w:val="000000"/>
          <w:spacing w:val="16"/>
          <w:sz w:val="28"/>
          <w:szCs w:val="28"/>
        </w:rPr>
        <w:t>不得擅自更動等有關事項，並由</w:t>
      </w:r>
      <w:r>
        <w:rPr>
          <w:rFonts w:ascii="標楷體" w:hAnsi="標楷體"/>
          <w:color w:val="000000"/>
          <w:sz w:val="28"/>
          <w:szCs w:val="28"/>
        </w:rPr>
        <w:t>骨灰（骸）存放設施經營業者</w:t>
      </w:r>
      <w:r>
        <w:rPr>
          <w:rFonts w:ascii="標楷體" w:hAnsi="標楷體"/>
          <w:spacing w:val="16"/>
          <w:sz w:val="28"/>
          <w:szCs w:val="28"/>
        </w:rPr>
        <w:t>簽名或蓋章。</w:t>
      </w:r>
    </w:p>
    <w:p>
      <w:pPr>
        <w:pStyle w:val="Normal"/>
        <w:spacing w:lineRule="exact" w:line="500" w:before="180" w:after="0"/>
        <w:ind w:left="721" w:right="0" w:hanging="1179"/>
        <w:jc w:val="distribute"/>
        <w:rPr/>
      </w:pPr>
      <w:r>
        <w:rPr>
          <w:rFonts w:ascii="標楷體" w:hAnsi="標楷體"/>
          <w:spacing w:val="16"/>
          <w:sz w:val="28"/>
          <w:szCs w:val="28"/>
        </w:rPr>
        <w:t xml:space="preserve">       </w:t>
      </w:r>
      <w:r>
        <w:rPr>
          <w:rFonts w:ascii="標楷體" w:hAnsi="標楷體"/>
          <w:spacing w:val="16"/>
          <w:sz w:val="28"/>
          <w:szCs w:val="28"/>
        </w:rPr>
        <w:t>有換位、使用權轉讓及使用權證明遺失之情形時，使用權人得請求</w:t>
      </w:r>
      <w:r>
        <w:rPr>
          <w:rFonts w:ascii="標楷體" w:hAnsi="標楷體"/>
          <w:color w:val="000000"/>
          <w:sz w:val="28"/>
          <w:szCs w:val="28"/>
        </w:rPr>
        <w:t>骨灰（骸）存放設施經營業者補、</w:t>
      </w:r>
      <w:r>
        <w:rPr>
          <w:rFonts w:ascii="標楷體" w:hAnsi="標楷體"/>
          <w:spacing w:val="16"/>
          <w:sz w:val="28"/>
          <w:szCs w:val="28"/>
        </w:rPr>
        <w:t>換發使用權證明。該證明手續費用於簽約時，得由雙方約定是否收取，如約定</w:t>
      </w:r>
      <w:r>
        <w:rPr>
          <w:rFonts w:ascii="標楷體" w:hAnsi="標楷體"/>
          <w:color w:val="000000"/>
          <w:sz w:val="28"/>
          <w:szCs w:val="28"/>
        </w:rPr>
        <w:t>骨灰（骸）存放設施經營業者得</w:t>
      </w:r>
      <w:r>
        <w:rPr>
          <w:rFonts w:ascii="標楷體" w:hAnsi="標楷體"/>
          <w:spacing w:val="16"/>
          <w:sz w:val="28"/>
          <w:szCs w:val="28"/>
        </w:rPr>
        <w:t>收取者，不得超過</w:t>
      </w:r>
      <w:r>
        <w:rPr>
          <w:rFonts w:ascii="標楷體" w:hAnsi="標楷體"/>
          <w:color w:val="000000"/>
          <w:spacing w:val="16"/>
          <w:sz w:val="28"/>
          <w:szCs w:val="28"/>
        </w:rPr>
        <w:t>新臺幣一千元</w:t>
      </w:r>
      <w:r>
        <w:rPr>
          <w:rFonts w:ascii="標楷體" w:hAnsi="標楷體"/>
          <w:spacing w:val="16"/>
          <w:sz w:val="28"/>
          <w:szCs w:val="28"/>
        </w:rPr>
        <w:t>。</w:t>
      </w:r>
    </w:p>
    <w:p>
      <w:pPr>
        <w:pStyle w:val="Normal"/>
        <w:spacing w:lineRule="exact" w:line="500" w:before="50" w:after="0"/>
        <w:ind w:left="-1" w:right="0" w:hanging="28"/>
        <w:jc w:val="distribute"/>
        <w:rPr/>
      </w:pPr>
      <w:r>
        <w:rPr>
          <w:rFonts w:ascii="標楷體" w:hAnsi="標楷體"/>
          <w:b/>
          <w:color w:val="000000"/>
          <w:sz w:val="28"/>
          <w:szCs w:val="28"/>
        </w:rPr>
        <w:t xml:space="preserve"> </w:t>
      </w:r>
      <w:r>
        <w:rPr>
          <w:rFonts w:ascii="標楷體" w:hAnsi="標楷體"/>
          <w:color w:val="000000"/>
          <w:sz w:val="28"/>
          <w:szCs w:val="28"/>
        </w:rPr>
        <w:t>十七、</w:t>
      </w:r>
      <w:r>
        <w:rPr>
          <w:rFonts w:ascii="標楷體" w:hAnsi="標楷體"/>
          <w:spacing w:val="16"/>
          <w:sz w:val="28"/>
          <w:szCs w:val="28"/>
        </w:rPr>
        <w:t>換位</w:t>
      </w:r>
    </w:p>
    <w:p>
      <w:pPr>
        <w:pStyle w:val="Normal"/>
        <w:spacing w:lineRule="exact" w:line="500" w:before="180" w:after="0"/>
        <w:ind w:left="720" w:right="0" w:hanging="0"/>
        <w:jc w:val="distribute"/>
        <w:rPr/>
      </w:pPr>
      <w:r>
        <w:rPr>
          <w:rFonts w:ascii="標楷體" w:hAnsi="標楷體"/>
          <w:spacing w:val="16"/>
          <w:sz w:val="28"/>
          <w:szCs w:val="28"/>
        </w:rPr>
        <w:t>消費者</w:t>
      </w:r>
      <w:r>
        <w:rPr>
          <w:rFonts w:ascii="標楷體" w:hAnsi="標楷體"/>
          <w:color w:val="000000"/>
          <w:spacing w:val="16"/>
          <w:sz w:val="28"/>
          <w:szCs w:val="28"/>
        </w:rPr>
        <w:t>在使用骨</w:t>
      </w:r>
      <w:r>
        <w:rPr>
          <w:rFonts w:ascii="標楷體" w:hAnsi="標楷體"/>
          <w:color w:val="000000"/>
          <w:sz w:val="28"/>
          <w:szCs w:val="28"/>
        </w:rPr>
        <w:t>灰（骸）存放單位</w:t>
      </w:r>
      <w:r>
        <w:rPr>
          <w:rFonts w:ascii="標楷體" w:hAnsi="標楷體"/>
          <w:color w:val="000000"/>
          <w:spacing w:val="16"/>
          <w:sz w:val="28"/>
          <w:szCs w:val="28"/>
        </w:rPr>
        <w:t>前，如同一骨</w:t>
      </w:r>
      <w:r>
        <w:rPr>
          <w:rFonts w:ascii="標楷體" w:hAnsi="標楷體"/>
          <w:color w:val="000000"/>
          <w:sz w:val="28"/>
          <w:szCs w:val="28"/>
        </w:rPr>
        <w:t>灰（骸）存放設施</w:t>
      </w:r>
      <w:r>
        <w:rPr>
          <w:rFonts w:ascii="標楷體" w:hAnsi="標楷體"/>
          <w:color w:val="000000"/>
          <w:spacing w:val="16"/>
          <w:sz w:val="28"/>
          <w:szCs w:val="28"/>
        </w:rPr>
        <w:t>內仍有空位時，消費者可持本契約或使用權證明向</w:t>
      </w:r>
      <w:r>
        <w:rPr>
          <w:rFonts w:ascii="標楷體" w:hAnsi="標楷體"/>
          <w:color w:val="000000"/>
          <w:sz w:val="28"/>
          <w:szCs w:val="28"/>
        </w:rPr>
        <w:t>骨灰（骸）存放設施經營業者</w:t>
      </w:r>
      <w:r>
        <w:rPr>
          <w:rFonts w:ascii="標楷體" w:hAnsi="標楷體"/>
          <w:color w:val="000000"/>
          <w:spacing w:val="16"/>
          <w:sz w:val="28"/>
          <w:szCs w:val="28"/>
        </w:rPr>
        <w:t>請求換位，如所換骨</w:t>
      </w:r>
      <w:r>
        <w:rPr>
          <w:rFonts w:ascii="標楷體" w:hAnsi="標楷體"/>
          <w:color w:val="000000"/>
          <w:sz w:val="28"/>
          <w:szCs w:val="28"/>
        </w:rPr>
        <w:t>灰（骸）存放單位與</w:t>
      </w:r>
      <w:r>
        <w:rPr>
          <w:rFonts w:ascii="標楷體" w:hAnsi="標楷體"/>
          <w:color w:val="000000"/>
          <w:spacing w:val="16"/>
          <w:sz w:val="28"/>
          <w:szCs w:val="28"/>
        </w:rPr>
        <w:t>原等級不同者應退補其差額。</w:t>
      </w:r>
    </w:p>
    <w:p>
      <w:pPr>
        <w:pStyle w:val="Normal"/>
        <w:spacing w:lineRule="exact" w:line="500" w:before="180" w:after="0"/>
        <w:ind w:left="-2" w:right="0" w:firstLine="1"/>
        <w:jc w:val="distribute"/>
        <w:rPr/>
      </w:pPr>
      <w:r>
        <w:rPr>
          <w:rFonts w:ascii="標楷體" w:hAnsi="標楷體"/>
          <w:b/>
          <w:color w:val="000000"/>
          <w:sz w:val="28"/>
          <w:szCs w:val="28"/>
        </w:rPr>
        <w:t xml:space="preserve"> </w:t>
      </w:r>
      <w:r>
        <w:rPr>
          <w:rFonts w:ascii="標楷體" w:hAnsi="標楷體"/>
          <w:color w:val="000000"/>
          <w:sz w:val="28"/>
          <w:szCs w:val="28"/>
        </w:rPr>
        <w:t>十八、</w:t>
      </w:r>
      <w:r>
        <w:rPr>
          <w:rFonts w:ascii="標楷體" w:hAnsi="標楷體"/>
          <w:spacing w:val="16"/>
          <w:sz w:val="28"/>
          <w:szCs w:val="28"/>
        </w:rPr>
        <w:t>使用權之轉讓</w:t>
      </w:r>
    </w:p>
    <w:p>
      <w:pPr>
        <w:pStyle w:val="Normal"/>
        <w:spacing w:lineRule="exact" w:line="500" w:before="180" w:after="0"/>
        <w:ind w:left="720" w:right="0" w:hanging="0"/>
        <w:jc w:val="distribute"/>
        <w:rPr/>
      </w:pPr>
      <w:r>
        <w:rPr>
          <w:rFonts w:ascii="標楷體" w:hAnsi="標楷體"/>
          <w:spacing w:val="16"/>
          <w:sz w:val="28"/>
          <w:szCs w:val="28"/>
        </w:rPr>
        <w:t>消費者之使用權得自由轉讓，</w:t>
      </w:r>
      <w:r>
        <w:rPr>
          <w:rFonts w:ascii="標楷體" w:hAnsi="標楷體"/>
          <w:color w:val="000000"/>
          <w:sz w:val="28"/>
          <w:szCs w:val="28"/>
        </w:rPr>
        <w:t>骨灰（骸）存放設施經營業者</w:t>
      </w:r>
      <w:r>
        <w:rPr>
          <w:rFonts w:ascii="標楷體" w:hAnsi="標楷體"/>
          <w:spacing w:val="16"/>
          <w:sz w:val="28"/>
          <w:szCs w:val="28"/>
        </w:rPr>
        <w:t>不得收取任何名義之轉讓權利金。</w:t>
      </w:r>
    </w:p>
    <w:p>
      <w:pPr>
        <w:pStyle w:val="Normal"/>
        <w:spacing w:lineRule="exact" w:line="500" w:before="180" w:after="0"/>
        <w:ind w:left="720" w:right="0" w:hanging="180"/>
        <w:jc w:val="distribute"/>
        <w:rPr/>
      </w:pPr>
      <w:r>
        <w:rPr>
          <w:rFonts w:ascii="標楷體" w:hAnsi="標楷體"/>
          <w:spacing w:val="16"/>
          <w:sz w:val="28"/>
          <w:szCs w:val="28"/>
        </w:rPr>
        <w:t xml:space="preserve"> </w:t>
      </w:r>
      <w:r>
        <w:rPr>
          <w:rFonts w:ascii="標楷體" w:hAnsi="標楷體"/>
          <w:spacing w:val="16"/>
          <w:sz w:val="28"/>
          <w:szCs w:val="28"/>
        </w:rPr>
        <w:t>消費者依前項約定轉讓使用權時，由消費者及受讓人持本契約書或使用權證明及其他相關證件，向</w:t>
      </w:r>
      <w:r>
        <w:rPr>
          <w:rFonts w:ascii="標楷體" w:hAnsi="標楷體"/>
          <w:color w:val="000000"/>
          <w:sz w:val="28"/>
          <w:szCs w:val="28"/>
        </w:rPr>
        <w:t>骨灰（骸）存放設施經營業者</w:t>
      </w:r>
      <w:r>
        <w:rPr>
          <w:rFonts w:ascii="標楷體" w:hAnsi="標楷體"/>
          <w:spacing w:val="16"/>
          <w:sz w:val="28"/>
          <w:szCs w:val="28"/>
        </w:rPr>
        <w:t>辦理轉讓過戶手續。</w:t>
      </w:r>
    </w:p>
    <w:p>
      <w:pPr>
        <w:pStyle w:val="Normal"/>
        <w:spacing w:lineRule="exact" w:line="500" w:before="180" w:after="0"/>
        <w:ind w:left="720" w:right="113" w:hanging="0"/>
        <w:jc w:val="distribute"/>
        <w:rPr>
          <w:rFonts w:ascii="標楷體" w:hAnsi="標楷體"/>
          <w:spacing w:val="16"/>
          <w:sz w:val="28"/>
          <w:szCs w:val="28"/>
        </w:rPr>
      </w:pPr>
      <w:r>
        <w:rPr>
          <w:rFonts w:ascii="標楷體" w:hAnsi="標楷體"/>
          <w:spacing w:val="16"/>
          <w:sz w:val="28"/>
          <w:szCs w:val="28"/>
        </w:rPr>
        <w:t>使用權之受讓人應承受消費者基於本契約所生之一切權利及義務。</w:t>
      </w:r>
    </w:p>
    <w:p>
      <w:pPr>
        <w:pStyle w:val="Normal"/>
        <w:tabs>
          <w:tab w:val="clear" w:pos="480"/>
          <w:tab w:val="left" w:pos="0" w:leader="none"/>
        </w:tabs>
        <w:spacing w:lineRule="exact" w:line="500" w:before="50" w:after="0"/>
        <w:jc w:val="distribute"/>
        <w:rPr/>
      </w:pPr>
      <w:r>
        <w:rPr>
          <w:rFonts w:ascii="標楷體" w:hAnsi="標楷體"/>
          <w:b/>
          <w:color w:val="000000"/>
          <w:sz w:val="28"/>
          <w:szCs w:val="28"/>
        </w:rPr>
        <w:t xml:space="preserve"> </w:t>
      </w:r>
      <w:r>
        <w:rPr>
          <w:rFonts w:ascii="標楷體" w:hAnsi="標楷體"/>
          <w:color w:val="000000"/>
          <w:sz w:val="28"/>
          <w:szCs w:val="28"/>
        </w:rPr>
        <w:t>十九、</w:t>
      </w:r>
      <w:r>
        <w:rPr>
          <w:rFonts w:ascii="標楷體" w:hAnsi="標楷體"/>
          <w:spacing w:val="16"/>
          <w:sz w:val="28"/>
          <w:szCs w:val="28"/>
        </w:rPr>
        <w:t>繼承</w:t>
      </w:r>
    </w:p>
    <w:p>
      <w:pPr>
        <w:pStyle w:val="Normal"/>
        <w:spacing w:lineRule="exact" w:line="500" w:before="180" w:after="0"/>
        <w:ind w:left="720" w:right="0" w:hanging="0"/>
        <w:jc w:val="distribute"/>
        <w:rPr/>
      </w:pPr>
      <w:r>
        <w:rPr>
          <w:rFonts w:ascii="標楷體" w:hAnsi="標楷體"/>
          <w:spacing w:val="16"/>
          <w:sz w:val="28"/>
          <w:szCs w:val="28"/>
        </w:rPr>
        <w:t>消費者發生繼承事實時，由繼承人提示被繼承人除戶戶籍謄本或死亡證明書、繼承協議書及本契約書或使用權證明向</w:t>
      </w:r>
      <w:r>
        <w:rPr>
          <w:rFonts w:ascii="標楷體" w:hAnsi="標楷體"/>
          <w:color w:val="000000"/>
          <w:sz w:val="28"/>
          <w:szCs w:val="28"/>
        </w:rPr>
        <w:t>骨灰（骸）存放設施經營業者</w:t>
      </w:r>
      <w:r>
        <w:rPr>
          <w:rFonts w:ascii="標楷體" w:hAnsi="標楷體"/>
          <w:spacing w:val="16"/>
          <w:sz w:val="28"/>
          <w:szCs w:val="28"/>
        </w:rPr>
        <w:t>辦理過戶登記，</w:t>
      </w:r>
      <w:r>
        <w:rPr>
          <w:rFonts w:ascii="標楷體" w:hAnsi="標楷體"/>
          <w:color w:val="000000"/>
          <w:spacing w:val="16"/>
          <w:sz w:val="28"/>
          <w:szCs w:val="28"/>
        </w:rPr>
        <w:t>該過戶登記換發使用權證明免繳手續費。但其他行政規費，不在此限。</w:t>
      </w:r>
    </w:p>
    <w:p>
      <w:pPr>
        <w:pStyle w:val="Normal"/>
        <w:spacing w:lineRule="exact" w:line="500" w:before="180" w:after="0"/>
        <w:ind w:left="0" w:right="0" w:firstLine="627"/>
        <w:jc w:val="distribute"/>
        <w:rPr>
          <w:rFonts w:ascii="標楷體" w:hAnsi="標楷體"/>
          <w:spacing w:val="16"/>
          <w:sz w:val="28"/>
          <w:szCs w:val="28"/>
        </w:rPr>
      </w:pPr>
      <w:r>
        <w:rPr>
          <w:rFonts w:ascii="標楷體" w:hAnsi="標楷體"/>
          <w:spacing w:val="16"/>
          <w:sz w:val="28"/>
          <w:szCs w:val="28"/>
        </w:rPr>
        <w:t xml:space="preserve"> </w:t>
      </w:r>
      <w:r>
        <w:rPr>
          <w:rFonts w:ascii="標楷體" w:hAnsi="標楷體"/>
          <w:spacing w:val="16"/>
          <w:sz w:val="28"/>
          <w:szCs w:val="28"/>
        </w:rPr>
        <w:t>消費者繼承人有數人而未達成協議時，依民法規定行之。</w:t>
      </w:r>
    </w:p>
    <w:p>
      <w:pPr>
        <w:pStyle w:val="Normal"/>
        <w:spacing w:lineRule="exact" w:line="500" w:before="180" w:after="0"/>
        <w:ind w:left="720" w:right="0" w:hanging="180"/>
        <w:jc w:val="distribute"/>
        <w:rPr/>
      </w:pPr>
      <w:r>
        <w:rPr>
          <w:rFonts w:ascii="標楷體" w:hAnsi="標楷體"/>
          <w:spacing w:val="16"/>
          <w:sz w:val="28"/>
          <w:szCs w:val="28"/>
        </w:rPr>
        <w:t xml:space="preserve"> </w:t>
      </w:r>
      <w:r>
        <w:rPr>
          <w:rFonts w:ascii="標楷體" w:hAnsi="標楷體"/>
          <w:spacing w:val="16"/>
          <w:sz w:val="28"/>
          <w:szCs w:val="28"/>
        </w:rPr>
        <w:t>消費者發生繼承事實，繼承人依第一</w:t>
      </w:r>
      <w:r>
        <w:rPr>
          <w:rFonts w:ascii="標楷體" w:hAnsi="標楷體"/>
          <w:color w:val="000000"/>
          <w:spacing w:val="16"/>
          <w:sz w:val="28"/>
          <w:szCs w:val="28"/>
        </w:rPr>
        <w:t>項辦理過戶登記後，得變更指定使用骨</w:t>
      </w:r>
      <w:r>
        <w:rPr>
          <w:rFonts w:ascii="標楷體" w:hAnsi="標楷體"/>
          <w:color w:val="000000"/>
          <w:sz w:val="28"/>
          <w:szCs w:val="28"/>
        </w:rPr>
        <w:t>灰（骸）存放單位</w:t>
      </w:r>
      <w:r>
        <w:rPr>
          <w:rFonts w:ascii="標楷體" w:hAnsi="標楷體"/>
          <w:color w:val="000000"/>
          <w:spacing w:val="16"/>
          <w:sz w:val="28"/>
          <w:szCs w:val="28"/>
        </w:rPr>
        <w:t>之人。</w:t>
      </w:r>
    </w:p>
    <w:p>
      <w:pPr>
        <w:pStyle w:val="Normal"/>
        <w:spacing w:lineRule="exact" w:line="500" w:before="180" w:after="0"/>
        <w:ind w:left="179" w:right="0" w:hanging="179"/>
        <w:rPr>
          <w:rFonts w:ascii="標楷體" w:hAnsi="標楷體"/>
          <w:b/>
          <w:color w:val="000000"/>
          <w:sz w:val="28"/>
          <w:szCs w:val="28"/>
        </w:rPr>
      </w:pPr>
      <w:r>
        <w:rPr>
          <w:rFonts w:ascii="標楷體" w:hAnsi="標楷體"/>
          <w:b/>
          <w:color w:val="000000"/>
          <w:sz w:val="28"/>
          <w:szCs w:val="28"/>
        </w:rPr>
        <w:t xml:space="preserve"> </w:t>
      </w:r>
      <w:r>
        <w:rPr>
          <w:rFonts w:ascii="標楷體" w:hAnsi="標楷體"/>
          <w:color w:val="000000"/>
          <w:sz w:val="28"/>
          <w:szCs w:val="28"/>
        </w:rPr>
        <w:t>二十、契約分存</w:t>
      </w:r>
    </w:p>
    <w:p>
      <w:pPr>
        <w:pStyle w:val="Normal"/>
        <w:spacing w:lineRule="exact" w:line="500" w:before="180" w:after="0"/>
        <w:ind w:left="719" w:right="0" w:hanging="179"/>
        <w:rPr/>
      </w:pPr>
      <w:r>
        <w:rPr>
          <w:rFonts w:ascii="標楷體" w:hAnsi="標楷體"/>
          <w:color w:val="000000"/>
          <w:sz w:val="28"/>
          <w:szCs w:val="28"/>
        </w:rPr>
        <w:t xml:space="preserve"> </w:t>
      </w:r>
      <w:r>
        <w:rPr>
          <w:rFonts w:ascii="標楷體" w:hAnsi="標楷體"/>
          <w:color w:val="000000"/>
          <w:spacing w:val="16"/>
          <w:sz w:val="28"/>
          <w:szCs w:val="28"/>
        </w:rPr>
        <w:t>消費者指定使用人需使用骨</w:t>
      </w:r>
      <w:r>
        <w:rPr>
          <w:rFonts w:ascii="標楷體" w:hAnsi="標楷體"/>
          <w:color w:val="000000"/>
          <w:sz w:val="28"/>
          <w:szCs w:val="28"/>
        </w:rPr>
        <w:t>灰（骸）存放單位</w:t>
      </w:r>
      <w:r>
        <w:rPr>
          <w:rFonts w:ascii="標楷體" w:hAnsi="標楷體"/>
          <w:color w:val="000000"/>
          <w:spacing w:val="16"/>
          <w:sz w:val="28"/>
          <w:szCs w:val="28"/>
        </w:rPr>
        <w:t>時，應持火化許可證明、起掘許可證明或其他相關證明（國外運回者應附通關證明）及使用權證明向</w:t>
      </w:r>
      <w:r>
        <w:rPr>
          <w:rFonts w:ascii="標楷體" w:hAnsi="標楷體"/>
          <w:color w:val="000000"/>
          <w:sz w:val="28"/>
          <w:szCs w:val="28"/>
        </w:rPr>
        <w:t>骨灰（骸）存放設施經營業者</w:t>
      </w:r>
      <w:r>
        <w:rPr>
          <w:rFonts w:ascii="標楷體" w:hAnsi="標楷體"/>
          <w:color w:val="000000"/>
          <w:spacing w:val="16"/>
          <w:sz w:val="28"/>
          <w:szCs w:val="28"/>
        </w:rPr>
        <w:t>辦理骨</w:t>
      </w:r>
      <w:r>
        <w:rPr>
          <w:rFonts w:ascii="標楷體" w:hAnsi="標楷體"/>
          <w:color w:val="000000"/>
          <w:sz w:val="28"/>
          <w:szCs w:val="28"/>
        </w:rPr>
        <w:t>灰（骸）存放單位</w:t>
      </w:r>
      <w:r>
        <w:rPr>
          <w:rFonts w:ascii="標楷體" w:hAnsi="標楷體"/>
          <w:color w:val="000000"/>
          <w:spacing w:val="16"/>
          <w:sz w:val="28"/>
          <w:szCs w:val="28"/>
        </w:rPr>
        <w:t>使用手續。</w:t>
      </w:r>
    </w:p>
    <w:p>
      <w:pPr>
        <w:pStyle w:val="Normal"/>
        <w:spacing w:lineRule="exact" w:line="500" w:before="180" w:after="0"/>
        <w:rPr/>
      </w:pPr>
      <w:r>
        <w:rPr>
          <w:rFonts w:ascii="標楷體" w:hAnsi="標楷體"/>
          <w:b/>
          <w:color w:val="000000"/>
          <w:spacing w:val="16"/>
          <w:sz w:val="28"/>
          <w:szCs w:val="28"/>
        </w:rPr>
        <w:t xml:space="preserve"> </w:t>
      </w:r>
      <w:r>
        <w:rPr>
          <w:rFonts w:ascii="標楷體" w:hAnsi="標楷體"/>
          <w:color w:val="000000"/>
          <w:spacing w:val="16"/>
          <w:sz w:val="28"/>
          <w:szCs w:val="28"/>
        </w:rPr>
        <w:t>二十一、</w:t>
      </w:r>
      <w:r>
        <w:rPr>
          <w:rFonts w:ascii="標楷體" w:hAnsi="標楷體"/>
          <w:spacing w:val="16"/>
          <w:sz w:val="28"/>
          <w:szCs w:val="28"/>
        </w:rPr>
        <w:t>管理費專款專用</w:t>
      </w:r>
    </w:p>
    <w:p>
      <w:pPr>
        <w:pStyle w:val="Normal"/>
        <w:spacing w:lineRule="exact" w:line="500" w:before="180" w:after="0"/>
        <w:ind w:left="718" w:right="0" w:hanging="538"/>
        <w:jc w:val="distribute"/>
        <w:rPr/>
      </w:pPr>
      <w:r>
        <w:rPr>
          <w:rFonts w:ascii="標楷體" w:hAnsi="標楷體"/>
          <w:color w:val="000000"/>
          <w:sz w:val="28"/>
          <w:szCs w:val="28"/>
        </w:rPr>
        <w:t xml:space="preserve">    </w:t>
      </w:r>
      <w:r>
        <w:rPr>
          <w:rFonts w:ascii="標楷體" w:hAnsi="標楷體"/>
          <w:color w:val="000000"/>
          <w:sz w:val="28"/>
          <w:szCs w:val="28"/>
        </w:rPr>
        <w:t>骨灰（骸）存放設施經營業者</w:t>
      </w:r>
      <w:r>
        <w:rPr>
          <w:rFonts w:ascii="標楷體" w:hAnsi="標楷體"/>
          <w:spacing w:val="16"/>
          <w:sz w:val="28"/>
          <w:szCs w:val="28"/>
        </w:rPr>
        <w:t>收取之費用，應明定管理費，並以管理費設立專戶，專款專用。但</w:t>
      </w:r>
      <w:r>
        <w:rPr>
          <w:rFonts w:ascii="標楷體" w:hAnsi="標楷體"/>
          <w:color w:val="000000"/>
          <w:sz w:val="28"/>
          <w:szCs w:val="28"/>
        </w:rPr>
        <w:t>如約定不予收取管理費者，由所收總價金提撥百分之○（不得低於百分之十），設立專戶，專款專用。</w:t>
      </w:r>
    </w:p>
    <w:p>
      <w:pPr>
        <w:pStyle w:val="Normal"/>
        <w:spacing w:lineRule="exact" w:line="500" w:before="180" w:after="0"/>
        <w:ind w:left="720" w:right="0" w:hanging="0"/>
        <w:jc w:val="distribute"/>
        <w:rPr/>
      </w:pPr>
      <w:r>
        <w:rPr>
          <w:rFonts w:ascii="標楷體" w:hAnsi="標楷體"/>
          <w:spacing w:val="16"/>
          <w:sz w:val="28"/>
          <w:szCs w:val="28"/>
        </w:rPr>
        <w:t>前項所稱專用，指供</w:t>
      </w:r>
      <w:r>
        <w:rPr>
          <w:rFonts w:ascii="標楷體" w:hAnsi="標楷體"/>
          <w:color w:val="000000"/>
          <w:sz w:val="28"/>
          <w:szCs w:val="28"/>
        </w:rPr>
        <w:t>骨灰（骸）存放設施經營業者</w:t>
      </w:r>
      <w:r>
        <w:rPr>
          <w:rFonts w:ascii="標楷體" w:hAnsi="標楷體"/>
          <w:spacing w:val="16"/>
          <w:sz w:val="28"/>
          <w:szCs w:val="28"/>
        </w:rPr>
        <w:t>履行契約約定之維護及祭祀義務與內部行政管理支出使用</w:t>
      </w:r>
      <w:r>
        <w:rPr>
          <w:rFonts w:ascii="標楷體" w:hAnsi="標楷體"/>
          <w:color w:val="000000"/>
          <w:spacing w:val="16"/>
          <w:sz w:val="28"/>
          <w:szCs w:val="28"/>
        </w:rPr>
        <w:t>。</w:t>
      </w:r>
    </w:p>
    <w:p>
      <w:pPr>
        <w:pStyle w:val="Normal"/>
        <w:spacing w:lineRule="exact" w:line="500" w:before="50" w:after="0"/>
        <w:ind w:left="720" w:right="0" w:hanging="0"/>
        <w:jc w:val="distribute"/>
        <w:rPr/>
      </w:pPr>
      <w:r>
        <w:rPr>
          <w:rFonts w:ascii="標楷體" w:hAnsi="標楷體"/>
          <w:color w:val="000000"/>
          <w:sz w:val="28"/>
          <w:szCs w:val="28"/>
        </w:rPr>
        <w:t>前項所稱內部行政管理支出，係指專為本</w:t>
      </w:r>
      <w:r>
        <w:rPr>
          <w:rFonts w:ascii="標楷體" w:hAnsi="標楷體"/>
          <w:color w:val="000000"/>
          <w:spacing w:val="16"/>
          <w:sz w:val="28"/>
          <w:szCs w:val="28"/>
        </w:rPr>
        <w:t>骨</w:t>
      </w:r>
      <w:r>
        <w:rPr>
          <w:rFonts w:ascii="標楷體" w:hAnsi="標楷體"/>
          <w:color w:val="000000"/>
          <w:sz w:val="28"/>
          <w:szCs w:val="28"/>
        </w:rPr>
        <w:t>灰（骸）存放設施內部行政管理所為支出，範圍如下：</w:t>
      </w:r>
    </w:p>
    <w:p>
      <w:pPr>
        <w:pStyle w:val="Normal"/>
        <w:numPr>
          <w:ilvl w:val="0"/>
          <w:numId w:val="7"/>
        </w:numPr>
        <w:tabs>
          <w:tab w:val="clear" w:pos="480"/>
          <w:tab w:val="left" w:pos="1215" w:leader="none"/>
        </w:tabs>
        <w:spacing w:lineRule="exact" w:line="500"/>
        <w:ind w:left="1215" w:hanging="855"/>
        <w:jc w:val="distribute"/>
        <w:rPr>
          <w:rFonts w:ascii="標楷體" w:hAnsi="標楷體"/>
          <w:color w:val="000000"/>
          <w:sz w:val="28"/>
          <w:szCs w:val="28"/>
        </w:rPr>
      </w:pPr>
      <w:r>
        <w:rPr>
          <w:rFonts w:ascii="標楷體" w:hAnsi="標楷體"/>
          <w:color w:val="000000"/>
          <w:sz w:val="28"/>
          <w:szCs w:val="28"/>
        </w:rPr>
        <w:t>管理設施之人事費用。</w:t>
      </w:r>
    </w:p>
    <w:p>
      <w:pPr>
        <w:pStyle w:val="Normal"/>
        <w:numPr>
          <w:ilvl w:val="0"/>
          <w:numId w:val="7"/>
        </w:numPr>
        <w:tabs>
          <w:tab w:val="clear" w:pos="480"/>
          <w:tab w:val="left" w:pos="1215" w:leader="none"/>
        </w:tabs>
        <w:spacing w:lineRule="exact" w:line="500"/>
        <w:ind w:left="1215" w:hanging="855"/>
        <w:jc w:val="distribute"/>
        <w:rPr>
          <w:rFonts w:ascii="標楷體" w:hAnsi="標楷體"/>
          <w:color w:val="000000"/>
          <w:sz w:val="28"/>
          <w:szCs w:val="28"/>
        </w:rPr>
      </w:pPr>
      <w:r>
        <w:rPr>
          <w:rFonts w:ascii="標楷體" w:hAnsi="標楷體"/>
          <w:color w:val="000000"/>
          <w:sz w:val="28"/>
          <w:szCs w:val="28"/>
        </w:rPr>
        <w:t>公共使用之水電費。</w:t>
      </w:r>
    </w:p>
    <w:p>
      <w:pPr>
        <w:pStyle w:val="Normal"/>
        <w:numPr>
          <w:ilvl w:val="0"/>
          <w:numId w:val="7"/>
        </w:numPr>
        <w:tabs>
          <w:tab w:val="clear" w:pos="480"/>
          <w:tab w:val="left" w:pos="1215" w:leader="none"/>
        </w:tabs>
        <w:spacing w:lineRule="exact" w:line="500"/>
        <w:ind w:left="1215" w:hanging="855"/>
        <w:jc w:val="distribute"/>
        <w:rPr>
          <w:rFonts w:ascii="標楷體" w:hAnsi="標楷體"/>
          <w:color w:val="000000"/>
          <w:sz w:val="28"/>
          <w:szCs w:val="28"/>
        </w:rPr>
      </w:pPr>
      <w:r>
        <w:rPr>
          <w:rFonts w:ascii="標楷體" w:hAnsi="標楷體"/>
          <w:color w:val="000000"/>
          <w:sz w:val="28"/>
          <w:szCs w:val="28"/>
        </w:rPr>
        <w:t>管理費專戶交付會計師查核簽證之費用。</w:t>
      </w:r>
    </w:p>
    <w:p>
      <w:pPr>
        <w:pStyle w:val="Normal"/>
        <w:spacing w:lineRule="exact" w:line="500" w:before="180" w:after="0"/>
        <w:ind w:left="843" w:right="0" w:hanging="869"/>
        <w:jc w:val="distribute"/>
        <w:rPr>
          <w:rFonts w:ascii="標楷體" w:hAnsi="標楷體"/>
          <w:b/>
          <w:sz w:val="28"/>
          <w:szCs w:val="28"/>
        </w:rPr>
      </w:pPr>
      <w:r>
        <w:rPr>
          <w:rFonts w:ascii="標楷體" w:hAnsi="標楷體"/>
          <w:sz w:val="28"/>
          <w:szCs w:val="28"/>
        </w:rPr>
        <w:t>二十二、資訊公開</w:t>
      </w:r>
    </w:p>
    <w:p>
      <w:pPr>
        <w:pStyle w:val="Normal"/>
        <w:spacing w:lineRule="exact" w:line="500" w:before="180" w:after="0"/>
        <w:ind w:left="538" w:right="0" w:hanging="0"/>
        <w:jc w:val="distribute"/>
        <w:rPr/>
      </w:pPr>
      <w:r>
        <w:rPr>
          <w:rFonts w:ascii="標楷體" w:hAnsi="標楷體"/>
          <w:color w:val="000000"/>
          <w:sz w:val="28"/>
          <w:szCs w:val="28"/>
        </w:rPr>
        <w:t>骨灰（骸）存放設施經營業者</w:t>
      </w:r>
      <w:r>
        <w:rPr>
          <w:rFonts w:ascii="標楷體" w:hAnsi="標楷體"/>
          <w:spacing w:val="16"/>
          <w:sz w:val="28"/>
          <w:szCs w:val="28"/>
        </w:rPr>
        <w:t>應設置專簿，就殯葬設施之管理維護分別載明收支運用情形，並於每季結束後二十日內更新資料，存放於本設施之服務中心，提供消費者查閱。</w:t>
      </w:r>
    </w:p>
    <w:p>
      <w:pPr>
        <w:pStyle w:val="Normal"/>
        <w:spacing w:lineRule="exact" w:line="500" w:before="180" w:after="0"/>
        <w:ind w:left="1123" w:right="0" w:hanging="1149"/>
        <w:jc w:val="distribute"/>
        <w:rPr>
          <w:rFonts w:ascii="標楷體" w:hAnsi="標楷體"/>
          <w:b/>
          <w:color w:val="000000"/>
          <w:sz w:val="28"/>
          <w:szCs w:val="28"/>
        </w:rPr>
      </w:pPr>
      <w:r>
        <w:rPr>
          <w:rFonts w:ascii="標楷體" w:hAnsi="標楷體"/>
          <w:color w:val="000000"/>
          <w:sz w:val="28"/>
          <w:szCs w:val="28"/>
        </w:rPr>
        <w:t>二十三、依法提撥費用</w:t>
      </w:r>
    </w:p>
    <w:p>
      <w:pPr>
        <w:pStyle w:val="Normal"/>
        <w:spacing w:lineRule="exact" w:line="500" w:before="180" w:after="0"/>
        <w:ind w:left="538" w:right="0" w:hanging="756"/>
        <w:jc w:val="distribute"/>
        <w:rPr/>
      </w:pPr>
      <w:r>
        <w:rPr>
          <w:rFonts w:ascii="標楷體" w:hAnsi="標楷體"/>
          <w:color w:val="000000"/>
          <w:sz w:val="28"/>
          <w:szCs w:val="28"/>
        </w:rPr>
        <w:t xml:space="preserve">     </w:t>
      </w:r>
      <w:r>
        <w:rPr>
          <w:rFonts w:ascii="標楷體" w:hAnsi="標楷體"/>
          <w:color w:val="000000"/>
          <w:sz w:val="28"/>
          <w:szCs w:val="28"/>
        </w:rPr>
        <w:t>骨灰（骸）存放設施經營業者應依</w:t>
      </w:r>
      <w:r>
        <w:rPr>
          <w:rFonts w:ascii="標楷體" w:hAnsi="標楷體"/>
          <w:color w:val="000000"/>
          <w:spacing w:val="16"/>
          <w:sz w:val="28"/>
          <w:szCs w:val="28"/>
        </w:rPr>
        <w:t>殯葬管理條例及相關自治條例提撥支應重大事故發生或經營不善致無法正常營運時修護、管理等之費用。</w:t>
      </w:r>
    </w:p>
    <w:p>
      <w:pPr>
        <w:pStyle w:val="Normal"/>
        <w:spacing w:lineRule="exact" w:line="500" w:before="180" w:after="0"/>
        <w:ind w:left="1123" w:right="0" w:hanging="1149"/>
        <w:jc w:val="distribute"/>
        <w:rPr/>
      </w:pPr>
      <w:r>
        <w:rPr>
          <w:rFonts w:ascii="標楷體" w:hAnsi="標楷體"/>
          <w:color w:val="000000"/>
          <w:sz w:val="28"/>
          <w:szCs w:val="28"/>
        </w:rPr>
        <w:t>二十四、</w:t>
      </w:r>
      <w:r>
        <w:rPr>
          <w:rFonts w:ascii="標楷體" w:hAnsi="標楷體"/>
          <w:spacing w:val="16"/>
          <w:sz w:val="28"/>
          <w:szCs w:val="28"/>
        </w:rPr>
        <w:t>契約之解除及退款</w:t>
      </w:r>
    </w:p>
    <w:p>
      <w:pPr>
        <w:pStyle w:val="Normal"/>
        <w:spacing w:lineRule="exact" w:line="500"/>
        <w:ind w:left="540" w:right="0" w:firstLine="17"/>
        <w:jc w:val="distribute"/>
        <w:rPr/>
      </w:pPr>
      <w:r>
        <w:rPr>
          <w:rFonts w:ascii="標楷體" w:hAnsi="標楷體"/>
          <w:color w:val="000000"/>
          <w:sz w:val="28"/>
          <w:szCs w:val="28"/>
        </w:rPr>
        <w:t>消費者如</w:t>
      </w:r>
      <w:r>
        <w:rPr>
          <w:rFonts w:ascii="標楷體" w:hAnsi="標楷體"/>
          <w:color w:val="000000"/>
          <w:spacing w:val="16"/>
          <w:sz w:val="28"/>
          <w:szCs w:val="28"/>
        </w:rPr>
        <w:t>未使用骨</w:t>
      </w:r>
      <w:r>
        <w:rPr>
          <w:rFonts w:ascii="標楷體" w:hAnsi="標楷體"/>
          <w:color w:val="000000"/>
          <w:sz w:val="28"/>
          <w:szCs w:val="28"/>
        </w:rPr>
        <w:t>灰（骸）存放單位時，得以書面向骨灰（骸）存放設施經營業者解除契約，骨灰（骸）存放設施經營業者應於契約解除日起</w:t>
      </w:r>
      <w:r>
        <w:rPr>
          <w:rFonts w:ascii="標楷體" w:hAnsi="標楷體"/>
          <w:color w:val="000000"/>
          <w:spacing w:val="16"/>
          <w:sz w:val="28"/>
          <w:szCs w:val="28"/>
        </w:rPr>
        <w:t>○○</w:t>
      </w:r>
      <w:r>
        <w:rPr>
          <w:rFonts w:ascii="標楷體" w:hAnsi="標楷體"/>
          <w:color w:val="000000"/>
          <w:sz w:val="28"/>
          <w:szCs w:val="28"/>
        </w:rPr>
        <w:t>日（最長不得超過三十日）內依下列各款辦理：</w:t>
      </w:r>
    </w:p>
    <w:p>
      <w:pPr>
        <w:pStyle w:val="Normal"/>
        <w:numPr>
          <w:ilvl w:val="0"/>
          <w:numId w:val="8"/>
        </w:numPr>
        <w:tabs>
          <w:tab w:val="clear" w:pos="480"/>
          <w:tab w:val="left" w:pos="855" w:leader="none"/>
        </w:tabs>
        <w:spacing w:lineRule="exact" w:line="500"/>
        <w:ind w:left="855" w:hanging="855"/>
        <w:jc w:val="distribute"/>
        <w:rPr>
          <w:rFonts w:ascii="標楷體" w:hAnsi="標楷體"/>
          <w:color w:val="000000"/>
          <w:sz w:val="28"/>
          <w:szCs w:val="28"/>
        </w:rPr>
      </w:pPr>
      <w:r>
        <w:rPr>
          <w:rFonts w:ascii="標楷體" w:hAnsi="標楷體"/>
          <w:color w:val="000000"/>
          <w:sz w:val="28"/>
          <w:szCs w:val="28"/>
        </w:rPr>
        <w:t>消費者於本契約簽訂之日起十四日以內解除契約者，骨灰（骸）存放設施經營業者退還已繳付之全部價金。</w:t>
      </w:r>
    </w:p>
    <w:p>
      <w:pPr>
        <w:pStyle w:val="Normal"/>
        <w:numPr>
          <w:ilvl w:val="0"/>
          <w:numId w:val="8"/>
        </w:numPr>
        <w:tabs>
          <w:tab w:val="clear" w:pos="480"/>
          <w:tab w:val="left" w:pos="855" w:leader="none"/>
        </w:tabs>
        <w:spacing w:lineRule="exact" w:line="500"/>
        <w:ind w:left="855" w:hanging="855"/>
        <w:jc w:val="distribute"/>
        <w:rPr/>
      </w:pPr>
      <w:r>
        <w:rPr>
          <w:rFonts w:ascii="標楷體" w:hAnsi="標楷體"/>
          <w:color w:val="000000"/>
          <w:sz w:val="28"/>
          <w:szCs w:val="28"/>
        </w:rPr>
        <w:t>消費者於本契約簽訂之日起超過十四日至三個月以內解除契約者，骨灰（骸）存放設施經營業者沒收之已付價</w:t>
      </w:r>
      <w:r>
        <w:rPr>
          <w:rFonts w:ascii="標楷體" w:hAnsi="標楷體"/>
          <w:color w:val="000000"/>
          <w:spacing w:val="16"/>
          <w:sz w:val="28"/>
          <w:szCs w:val="28"/>
        </w:rPr>
        <w:t>金</w:t>
      </w:r>
      <w:r>
        <w:rPr>
          <w:rFonts w:ascii="標楷體" w:hAnsi="標楷體"/>
          <w:color w:val="000000"/>
          <w:sz w:val="28"/>
          <w:szCs w:val="28"/>
        </w:rPr>
        <w:t>不得超過總價金百分之十。</w:t>
      </w:r>
    </w:p>
    <w:p>
      <w:pPr>
        <w:pStyle w:val="Normal"/>
        <w:numPr>
          <w:ilvl w:val="0"/>
          <w:numId w:val="8"/>
        </w:numPr>
        <w:tabs>
          <w:tab w:val="clear" w:pos="480"/>
          <w:tab w:val="left" w:pos="855" w:leader="none"/>
        </w:tabs>
        <w:spacing w:lineRule="exact" w:line="500"/>
        <w:ind w:left="855" w:hanging="855"/>
        <w:jc w:val="distribute"/>
        <w:rPr/>
      </w:pPr>
      <w:r>
        <w:rPr>
          <w:rFonts w:ascii="標楷體" w:hAnsi="標楷體"/>
          <w:color w:val="000000"/>
          <w:sz w:val="28"/>
          <w:szCs w:val="28"/>
        </w:rPr>
        <w:t>消費者於本契約簽訂之日起超過三個月至一年以內解除契約者，骨灰（骸）存放設施經營業者沒收之已付價</w:t>
      </w:r>
      <w:r>
        <w:rPr>
          <w:rFonts w:ascii="標楷體" w:hAnsi="標楷體"/>
          <w:color w:val="000000"/>
          <w:spacing w:val="16"/>
          <w:sz w:val="28"/>
          <w:szCs w:val="28"/>
        </w:rPr>
        <w:t>金</w:t>
      </w:r>
      <w:r>
        <w:rPr>
          <w:rFonts w:ascii="標楷體" w:hAnsi="標楷體"/>
          <w:color w:val="000000"/>
          <w:sz w:val="28"/>
          <w:szCs w:val="28"/>
        </w:rPr>
        <w:t>不得超過總價金百分之二十。</w:t>
      </w:r>
    </w:p>
    <w:p>
      <w:pPr>
        <w:pStyle w:val="Normal"/>
        <w:numPr>
          <w:ilvl w:val="0"/>
          <w:numId w:val="8"/>
        </w:numPr>
        <w:tabs>
          <w:tab w:val="clear" w:pos="480"/>
          <w:tab w:val="left" w:pos="855" w:leader="none"/>
        </w:tabs>
        <w:spacing w:lineRule="exact" w:line="500"/>
        <w:ind w:left="855" w:hanging="855"/>
        <w:jc w:val="distribute"/>
        <w:rPr/>
      </w:pPr>
      <w:r>
        <w:rPr>
          <w:rFonts w:ascii="標楷體" w:hAnsi="標楷體"/>
          <w:color w:val="000000"/>
          <w:sz w:val="28"/>
          <w:szCs w:val="28"/>
        </w:rPr>
        <w:t>消費者於本契約簽訂之日起超過一年至三年以內解除契約者，骨灰（骸）存放設施經營業者沒收之已付價</w:t>
      </w:r>
      <w:r>
        <w:rPr>
          <w:rFonts w:ascii="標楷體" w:hAnsi="標楷體"/>
          <w:color w:val="000000"/>
          <w:spacing w:val="16"/>
          <w:sz w:val="28"/>
          <w:szCs w:val="28"/>
        </w:rPr>
        <w:t>金</w:t>
      </w:r>
      <w:r>
        <w:rPr>
          <w:rFonts w:ascii="標楷體" w:hAnsi="標楷體"/>
          <w:color w:val="000000"/>
          <w:sz w:val="28"/>
          <w:szCs w:val="28"/>
        </w:rPr>
        <w:t>不得超過總價金百分之三十。</w:t>
      </w:r>
    </w:p>
    <w:p>
      <w:pPr>
        <w:pStyle w:val="Normal"/>
        <w:numPr>
          <w:ilvl w:val="0"/>
          <w:numId w:val="8"/>
        </w:numPr>
        <w:tabs>
          <w:tab w:val="clear" w:pos="480"/>
          <w:tab w:val="left" w:pos="855" w:leader="none"/>
        </w:tabs>
        <w:spacing w:lineRule="exact" w:line="500"/>
        <w:ind w:left="855" w:hanging="855"/>
        <w:jc w:val="distribute"/>
        <w:rPr/>
      </w:pPr>
      <w:r>
        <w:rPr>
          <w:rFonts w:ascii="標楷體" w:hAnsi="標楷體"/>
          <w:color w:val="000000"/>
          <w:sz w:val="28"/>
          <w:szCs w:val="28"/>
        </w:rPr>
        <w:t>消費者於本契約簽訂之日起超過三年後解除契約者，骨灰（骸）存放設施經營業者沒收之已付價</w:t>
      </w:r>
      <w:r>
        <w:rPr>
          <w:rFonts w:ascii="標楷體" w:hAnsi="標楷體"/>
          <w:color w:val="000000"/>
          <w:spacing w:val="16"/>
          <w:sz w:val="28"/>
          <w:szCs w:val="28"/>
        </w:rPr>
        <w:t>金</w:t>
      </w:r>
      <w:r>
        <w:rPr>
          <w:rFonts w:ascii="標楷體" w:hAnsi="標楷體"/>
          <w:color w:val="000000"/>
          <w:sz w:val="28"/>
          <w:szCs w:val="28"/>
        </w:rPr>
        <w:t>不得超過總價金百分之四十。</w:t>
      </w:r>
    </w:p>
    <w:p>
      <w:pPr>
        <w:pStyle w:val="Normal"/>
        <w:spacing w:lineRule="exact" w:line="500" w:before="180" w:after="0"/>
        <w:ind w:left="538" w:right="0" w:hanging="538"/>
        <w:jc w:val="distribute"/>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消費者依前項約定解除契約者，骨灰（骸）存放設施經營業者並應按前項各款所定期間及退款比例退還消費者已繳納之管理費。</w:t>
      </w:r>
    </w:p>
    <w:p>
      <w:pPr>
        <w:pStyle w:val="Normal"/>
        <w:spacing w:lineRule="exact" w:line="500" w:before="50" w:after="0"/>
        <w:ind w:left="1" w:right="0" w:hanging="0"/>
        <w:jc w:val="distribute"/>
        <w:rPr/>
      </w:pPr>
      <w:r>
        <w:rPr>
          <w:rFonts w:ascii="標楷體" w:hAnsi="標楷體"/>
          <w:color w:val="000000"/>
          <w:sz w:val="28"/>
          <w:szCs w:val="28"/>
        </w:rPr>
        <w:t>二十五、</w:t>
      </w:r>
      <w:r>
        <w:rPr>
          <w:rFonts w:ascii="標楷體" w:hAnsi="標楷體"/>
          <w:spacing w:val="16"/>
          <w:sz w:val="28"/>
          <w:szCs w:val="28"/>
        </w:rPr>
        <w:t>契約之終止及退款</w:t>
      </w:r>
    </w:p>
    <w:p>
      <w:pPr>
        <w:pStyle w:val="Normal"/>
        <w:spacing w:lineRule="exact" w:line="500" w:before="180" w:after="0"/>
        <w:ind w:left="540" w:right="0" w:firstLine="20"/>
        <w:jc w:val="distribute"/>
        <w:rPr/>
      </w:pPr>
      <w:r>
        <w:rPr>
          <w:rFonts w:ascii="標楷體" w:hAnsi="標楷體"/>
          <w:color w:val="000000"/>
          <w:sz w:val="28"/>
          <w:szCs w:val="28"/>
        </w:rPr>
        <w:t>骨灰（骸）存放設施經營業者無法提供約定之骨灰（骸）存放單位，或骨灰（骸）存放設施經主管機關查核認定有</w:t>
      </w:r>
      <w:r>
        <w:rPr>
          <w:rFonts w:ascii="標楷體" w:hAnsi="標楷體"/>
          <w:color w:val="000000"/>
          <w:spacing w:val="16"/>
          <w:sz w:val="28"/>
          <w:szCs w:val="28"/>
        </w:rPr>
        <w:t>重大事故發生或經營不善致無法正常營運之情形時</w:t>
      </w:r>
      <w:r>
        <w:rPr>
          <w:rFonts w:ascii="標楷體" w:hAnsi="標楷體"/>
          <w:color w:val="000000"/>
          <w:sz w:val="28"/>
          <w:szCs w:val="28"/>
        </w:rPr>
        <w:t>，消費者得選擇換位或終止契約，如消費者選擇終止契約，骨灰（骸）存放設施經營業者應於契約終止日起○○日（最長不得逾</w:t>
      </w:r>
      <w:r>
        <w:rPr>
          <w:rFonts w:ascii="標楷體" w:hAnsi="標楷體"/>
          <w:sz w:val="28"/>
          <w:szCs w:val="28"/>
        </w:rPr>
        <w:t>三十日</w:t>
      </w:r>
      <w:r>
        <w:rPr>
          <w:rFonts w:ascii="標楷體" w:hAnsi="標楷體"/>
          <w:color w:val="000000"/>
          <w:sz w:val="28"/>
          <w:szCs w:val="28"/>
        </w:rPr>
        <w:t>）內退還消費者已繳付之全部價金</w:t>
      </w:r>
      <w:r>
        <w:rPr>
          <w:rFonts w:ascii="標楷體" w:hAnsi="標楷體"/>
          <w:color w:val="000000"/>
          <w:spacing w:val="16"/>
          <w:sz w:val="28"/>
          <w:szCs w:val="28"/>
        </w:rPr>
        <w:t>及按比例返還已繳納之管理費</w:t>
      </w:r>
      <w:r>
        <w:rPr>
          <w:rFonts w:ascii="標楷體" w:hAnsi="標楷體"/>
          <w:color w:val="000000"/>
          <w:sz w:val="28"/>
          <w:szCs w:val="28"/>
        </w:rPr>
        <w:t>。</w:t>
      </w:r>
    </w:p>
    <w:p>
      <w:pPr>
        <w:pStyle w:val="Normal"/>
        <w:spacing w:lineRule="exact" w:line="500" w:before="180" w:after="0"/>
        <w:ind w:left="540" w:right="0" w:firstLine="20"/>
        <w:jc w:val="distribute"/>
        <w:rPr/>
      </w:pPr>
      <w:r>
        <w:rPr>
          <w:rFonts w:ascii="標楷體" w:hAnsi="標楷體"/>
          <w:color w:val="000000"/>
          <w:sz w:val="28"/>
          <w:szCs w:val="28"/>
        </w:rPr>
        <w:t>骨灰（骸）存放設施經營業者</w:t>
      </w:r>
      <w:r>
        <w:rPr>
          <w:rFonts w:ascii="標楷體" w:hAnsi="標楷體"/>
          <w:sz w:val="28"/>
          <w:szCs w:val="28"/>
        </w:rPr>
        <w:t>依約定</w:t>
      </w:r>
      <w:r>
        <w:rPr>
          <w:rFonts w:ascii="標楷體" w:hAnsi="標楷體"/>
          <w:spacing w:val="16"/>
          <w:sz w:val="28"/>
          <w:szCs w:val="28"/>
        </w:rPr>
        <w:t>解除、終止契約並</w:t>
      </w:r>
      <w:r>
        <w:rPr>
          <w:rFonts w:ascii="標楷體" w:hAnsi="標楷體"/>
          <w:sz w:val="28"/>
          <w:szCs w:val="28"/>
        </w:rPr>
        <w:t>退款而逾期未退還消費者時，應加計遲延利息○○○○（每日利率不得低於萬分之一）。</w:t>
      </w:r>
    </w:p>
    <w:p>
      <w:pPr>
        <w:pStyle w:val="BodyTextIndent"/>
        <w:spacing w:lineRule="exact" w:line="500" w:before="180" w:after="0"/>
        <w:ind w:left="0" w:right="0" w:firstLine="20"/>
        <w:jc w:val="distribute"/>
        <w:rPr>
          <w:rFonts w:ascii="標楷體" w:hAnsi="標楷體" w:eastAsia="標楷體"/>
          <w:color w:val="000000"/>
          <w:sz w:val="28"/>
          <w:szCs w:val="28"/>
        </w:rPr>
      </w:pPr>
      <w:r>
        <w:rPr>
          <w:rFonts w:ascii="標楷體" w:hAnsi="標楷體" w:eastAsia="標楷體"/>
          <w:color w:val="000000"/>
          <w:sz w:val="28"/>
          <w:szCs w:val="28"/>
        </w:rPr>
        <w:t>消費者係基於多層次傳銷參加人身分與骨灰（骸）存放設施經營業者簽訂本契約時，契約之解除、終止與退款依公平交易法第二十三條之一至第二十三條之三規定辦理。</w:t>
      </w:r>
    </w:p>
    <w:p>
      <w:pPr>
        <w:pStyle w:val="Normal"/>
        <w:spacing w:lineRule="exact" w:line="500" w:before="180" w:after="0"/>
        <w:ind w:left="538" w:right="0" w:firstLine="2"/>
        <w:jc w:val="distribute"/>
        <w:rPr>
          <w:rFonts w:ascii="標楷體" w:hAnsi="標楷體"/>
          <w:color w:val="000000"/>
          <w:sz w:val="28"/>
          <w:szCs w:val="28"/>
        </w:rPr>
      </w:pPr>
      <w:r>
        <w:rPr>
          <w:rFonts w:ascii="標楷體" w:hAnsi="標楷體"/>
          <w:color w:val="000000"/>
          <w:sz w:val="28"/>
          <w:szCs w:val="28"/>
        </w:rPr>
        <w:t>本契約以郵購或訪問買賣之方式成立者，適用消費者保護法有關之規定。</w:t>
      </w:r>
    </w:p>
    <w:p>
      <w:pPr>
        <w:pStyle w:val="Normal"/>
        <w:spacing w:lineRule="exact" w:line="500" w:before="50" w:after="0"/>
        <w:ind w:left="2" w:right="0" w:hanging="28"/>
        <w:jc w:val="distribute"/>
        <w:rPr>
          <w:rFonts w:ascii="標楷體" w:hAnsi="標楷體"/>
          <w:b/>
          <w:color w:val="000000"/>
          <w:sz w:val="28"/>
          <w:szCs w:val="28"/>
        </w:rPr>
      </w:pPr>
      <w:r>
        <w:rPr>
          <w:rFonts w:ascii="標楷體" w:hAnsi="標楷體"/>
          <w:color w:val="000000"/>
          <w:sz w:val="28"/>
          <w:szCs w:val="28"/>
        </w:rPr>
        <w:t>二十六、遲延繳款之處理</w:t>
      </w:r>
    </w:p>
    <w:p>
      <w:pPr>
        <w:pStyle w:val="Normal"/>
        <w:spacing w:lineRule="exact" w:line="500"/>
        <w:ind w:left="540" w:right="0" w:firstLine="20"/>
        <w:jc w:val="distribute"/>
        <w:rPr>
          <w:rFonts w:ascii="標楷體" w:hAnsi="標楷體"/>
          <w:color w:val="000000"/>
          <w:sz w:val="28"/>
          <w:szCs w:val="28"/>
        </w:rPr>
      </w:pPr>
      <w:r>
        <w:rPr>
          <w:rFonts w:ascii="標楷體" w:hAnsi="標楷體"/>
          <w:color w:val="000000"/>
          <w:sz w:val="28"/>
          <w:szCs w:val="28"/>
        </w:rPr>
        <w:t>消費者應依約按時繳款，因故遲延付款或未繳款時，骨灰（骸）存放設施經營業者同意給予消費者○○日（不得少於五個營業日）之繳款寬限期，逾期付款或未繳款連續達二期以上者並得對甲方進行催告。</w:t>
      </w:r>
    </w:p>
    <w:p>
      <w:pPr>
        <w:pStyle w:val="Normal"/>
        <w:spacing w:lineRule="exact" w:line="500" w:before="180" w:after="0"/>
        <w:ind w:left="540" w:right="0" w:hanging="0"/>
        <w:jc w:val="distribute"/>
        <w:rPr>
          <w:rFonts w:ascii="標楷體" w:hAnsi="標楷體"/>
          <w:color w:val="000000"/>
          <w:sz w:val="28"/>
          <w:szCs w:val="28"/>
        </w:rPr>
      </w:pPr>
      <w:r>
        <w:rPr>
          <w:rFonts w:ascii="標楷體" w:hAnsi="標楷體"/>
          <w:color w:val="000000"/>
          <w:sz w:val="28"/>
          <w:szCs w:val="28"/>
        </w:rPr>
        <w:t>骨灰（骸）存放設施經營業者自前項催告期限屆滿翌日起得加收遲延利息○○○○（每日利率不得逾萬分之一），但最高不得超過應繳金額萬分之六十。</w:t>
      </w:r>
    </w:p>
    <w:p>
      <w:pPr>
        <w:pStyle w:val="Normal"/>
        <w:spacing w:lineRule="exact" w:line="500" w:before="50" w:after="0"/>
        <w:ind w:left="2" w:right="0" w:hanging="28"/>
        <w:jc w:val="distribute"/>
        <w:rPr/>
      </w:pPr>
      <w:r>
        <w:rPr>
          <w:rFonts w:ascii="標楷體" w:hAnsi="標楷體"/>
          <w:color w:val="000000"/>
          <w:sz w:val="28"/>
          <w:szCs w:val="28"/>
        </w:rPr>
        <w:t>二十七、骨灰（骸）存放設施經營業者</w:t>
      </w:r>
      <w:r>
        <w:rPr>
          <w:rFonts w:ascii="標楷體" w:hAnsi="標楷體"/>
          <w:color w:val="000000"/>
          <w:spacing w:val="16"/>
          <w:sz w:val="28"/>
          <w:szCs w:val="28"/>
        </w:rPr>
        <w:t>違約之處理</w:t>
      </w:r>
    </w:p>
    <w:p>
      <w:pPr>
        <w:pStyle w:val="Normal"/>
        <w:spacing w:lineRule="exact" w:line="500" w:before="180" w:after="0"/>
        <w:ind w:left="540" w:right="0" w:hanging="566"/>
        <w:jc w:val="distribute"/>
        <w:rPr/>
      </w:pPr>
      <w:r>
        <w:rPr>
          <w:rFonts w:ascii="標楷體" w:hAnsi="標楷體"/>
          <w:color w:val="000000"/>
          <w:sz w:val="28"/>
          <w:szCs w:val="28"/>
        </w:rPr>
        <w:t xml:space="preserve">    </w:t>
      </w:r>
      <w:r>
        <w:rPr>
          <w:rFonts w:ascii="標楷體" w:hAnsi="標楷體"/>
          <w:color w:val="000000"/>
          <w:sz w:val="28"/>
          <w:szCs w:val="28"/>
        </w:rPr>
        <w:t>骨灰（骸）存放設施經營業者</w:t>
      </w:r>
      <w:r>
        <w:rPr>
          <w:rFonts w:ascii="標楷體" w:hAnsi="標楷體"/>
          <w:color w:val="000000"/>
          <w:spacing w:val="16"/>
          <w:sz w:val="28"/>
          <w:szCs w:val="28"/>
        </w:rPr>
        <w:t>擅自增加、變更或移動骨</w:t>
      </w:r>
      <w:r>
        <w:rPr>
          <w:rFonts w:ascii="標楷體" w:hAnsi="標楷體"/>
          <w:color w:val="000000"/>
          <w:sz w:val="28"/>
          <w:szCs w:val="28"/>
        </w:rPr>
        <w:t>灰（骸）存放單位</w:t>
      </w:r>
      <w:r>
        <w:rPr>
          <w:rFonts w:ascii="標楷體" w:hAnsi="標楷體"/>
          <w:color w:val="000000"/>
          <w:spacing w:val="16"/>
          <w:sz w:val="28"/>
          <w:szCs w:val="28"/>
        </w:rPr>
        <w:t>時，消費者得通知</w:t>
      </w:r>
      <w:r>
        <w:rPr>
          <w:rFonts w:ascii="標楷體" w:hAnsi="標楷體"/>
          <w:color w:val="000000"/>
          <w:sz w:val="28"/>
          <w:szCs w:val="28"/>
        </w:rPr>
        <w:t>骨灰（骸）存放設施經營業者於○○日（最長不得逾三十日）內</w:t>
      </w:r>
      <w:r>
        <w:rPr>
          <w:rFonts w:ascii="標楷體" w:hAnsi="標楷體"/>
          <w:color w:val="000000"/>
          <w:spacing w:val="16"/>
          <w:sz w:val="28"/>
          <w:szCs w:val="28"/>
        </w:rPr>
        <w:t>回復原狀，逾期仍未回復原狀，消費者得終止契約，並請求</w:t>
      </w:r>
      <w:r>
        <w:rPr>
          <w:rFonts w:ascii="標楷體" w:hAnsi="標楷體"/>
          <w:color w:val="000000"/>
          <w:sz w:val="28"/>
          <w:szCs w:val="28"/>
        </w:rPr>
        <w:t>骨灰（骸）存放設施經營業者</w:t>
      </w:r>
      <w:r>
        <w:rPr>
          <w:rFonts w:ascii="標楷體" w:hAnsi="標楷體"/>
          <w:color w:val="000000"/>
          <w:spacing w:val="16"/>
          <w:sz w:val="28"/>
          <w:szCs w:val="28"/>
        </w:rPr>
        <w:t>加倍退還價金及按比例返還已繳納之管理費。</w:t>
      </w:r>
    </w:p>
    <w:p>
      <w:pPr>
        <w:pStyle w:val="Normal"/>
        <w:spacing w:lineRule="exact" w:line="500" w:before="180" w:after="0"/>
        <w:ind w:left="540" w:right="0" w:firstLine="34"/>
        <w:jc w:val="distribute"/>
        <w:rPr/>
      </w:pPr>
      <w:r>
        <w:rPr>
          <w:rFonts w:ascii="標楷體" w:hAnsi="標楷體"/>
          <w:color w:val="000000"/>
          <w:sz w:val="28"/>
          <w:szCs w:val="28"/>
        </w:rPr>
        <w:t>骨灰（骸）存放設施經營業者</w:t>
      </w:r>
      <w:r>
        <w:rPr>
          <w:rFonts w:ascii="標楷體" w:hAnsi="標楷體"/>
          <w:color w:val="000000"/>
          <w:spacing w:val="16"/>
          <w:sz w:val="28"/>
          <w:szCs w:val="28"/>
        </w:rPr>
        <w:t>違反</w:t>
      </w:r>
      <w:r>
        <w:rPr>
          <w:rFonts w:ascii="標楷體" w:hAnsi="標楷體"/>
          <w:spacing w:val="16"/>
          <w:sz w:val="28"/>
          <w:szCs w:val="28"/>
        </w:rPr>
        <w:t>契約</w:t>
      </w:r>
      <w:r>
        <w:rPr>
          <w:rFonts w:ascii="標楷體" w:hAnsi="標楷體"/>
          <w:color w:val="000000"/>
          <w:spacing w:val="16"/>
          <w:sz w:val="28"/>
          <w:szCs w:val="28"/>
        </w:rPr>
        <w:t>之義務，消費者得通知</w:t>
      </w:r>
      <w:r>
        <w:rPr>
          <w:rFonts w:ascii="標楷體" w:hAnsi="標楷體"/>
          <w:color w:val="000000"/>
          <w:sz w:val="28"/>
          <w:szCs w:val="28"/>
        </w:rPr>
        <w:t>骨灰（骸）存放設施經營業者</w:t>
      </w:r>
      <w:r>
        <w:rPr>
          <w:rFonts w:ascii="標楷體" w:hAnsi="標楷體"/>
          <w:color w:val="000000"/>
          <w:spacing w:val="16"/>
          <w:sz w:val="28"/>
          <w:szCs w:val="28"/>
        </w:rPr>
        <w:t>於○○日（最長不得逾七日）內改善，逾期未改善者，消費者得請求免除違約期間之管理費；經消費者再通知</w:t>
      </w:r>
      <w:r>
        <w:rPr>
          <w:rFonts w:ascii="標楷體" w:hAnsi="標楷體"/>
          <w:color w:val="000000"/>
          <w:sz w:val="28"/>
          <w:szCs w:val="28"/>
        </w:rPr>
        <w:t>骨灰（骸）存放設施經營業者</w:t>
      </w:r>
      <w:r>
        <w:rPr>
          <w:rFonts w:ascii="標楷體" w:hAnsi="標楷體"/>
          <w:color w:val="000000"/>
          <w:spacing w:val="16"/>
          <w:sz w:val="28"/>
          <w:szCs w:val="28"/>
        </w:rPr>
        <w:t>於○○日（最長不得逾七日）內改善，逾期仍未改善者，消費者得終止契約，並請求</w:t>
      </w:r>
      <w:r>
        <w:rPr>
          <w:rFonts w:ascii="標楷體" w:hAnsi="標楷體"/>
          <w:color w:val="000000"/>
          <w:sz w:val="28"/>
          <w:szCs w:val="28"/>
        </w:rPr>
        <w:t>骨灰（骸）存放設施經營業者</w:t>
      </w:r>
      <w:r>
        <w:rPr>
          <w:rFonts w:ascii="標楷體" w:hAnsi="標楷體"/>
          <w:color w:val="000000"/>
          <w:spacing w:val="16"/>
          <w:sz w:val="28"/>
          <w:szCs w:val="28"/>
        </w:rPr>
        <w:t>加倍退還價金及按比例返還已繳納之管理費。</w:t>
      </w:r>
    </w:p>
    <w:p>
      <w:pPr>
        <w:pStyle w:val="Normal"/>
        <w:spacing w:lineRule="exact" w:line="500" w:before="180" w:after="0"/>
        <w:ind w:left="540" w:right="0" w:hanging="2"/>
        <w:jc w:val="distribute"/>
        <w:rPr/>
      </w:pPr>
      <w:r>
        <w:rPr>
          <w:rFonts w:ascii="標楷體" w:hAnsi="標楷體"/>
          <w:color w:val="000000"/>
          <w:sz w:val="28"/>
          <w:szCs w:val="28"/>
        </w:rPr>
        <w:t>骨灰（骸）存放設施經營業者</w:t>
      </w:r>
      <w:r>
        <w:rPr>
          <w:rFonts w:ascii="標楷體" w:hAnsi="標楷體"/>
          <w:color w:val="000000"/>
          <w:spacing w:val="16"/>
          <w:sz w:val="28"/>
          <w:szCs w:val="28"/>
        </w:rPr>
        <w:t>，</w:t>
      </w:r>
      <w:r>
        <w:rPr>
          <w:rFonts w:ascii="標楷體" w:hAnsi="標楷體"/>
          <w:color w:val="000000"/>
          <w:sz w:val="28"/>
          <w:szCs w:val="28"/>
        </w:rPr>
        <w:t>無法依契約提供約定之骨灰（骸）存放單位時，消費者得向骨灰（骸）存放設施經營業者要求價金及管理費共計總額三倍之懲罰性賠償。但乙方可提出不可歸責於己方之事由者，免予退還。</w:t>
      </w:r>
    </w:p>
    <w:p>
      <w:pPr>
        <w:pStyle w:val="Normal"/>
        <w:spacing w:lineRule="exact" w:line="500" w:before="50" w:after="0"/>
        <w:ind w:left="2" w:right="0" w:hanging="28"/>
        <w:jc w:val="distribute"/>
        <w:rPr/>
      </w:pPr>
      <w:r>
        <w:rPr>
          <w:rFonts w:ascii="標楷體" w:hAnsi="標楷體"/>
          <w:color w:val="000000"/>
          <w:sz w:val="28"/>
          <w:szCs w:val="28"/>
        </w:rPr>
        <w:t>二十八、消費者</w:t>
      </w:r>
      <w:r>
        <w:rPr>
          <w:rFonts w:ascii="標楷體" w:hAnsi="標楷體"/>
          <w:color w:val="000000"/>
          <w:spacing w:val="16"/>
          <w:sz w:val="28"/>
          <w:szCs w:val="28"/>
        </w:rPr>
        <w:t>違約之處理</w:t>
      </w:r>
    </w:p>
    <w:p>
      <w:pPr>
        <w:pStyle w:val="Normal"/>
        <w:spacing w:lineRule="exact" w:line="500" w:before="180" w:after="0"/>
        <w:ind w:left="536" w:right="0" w:hanging="178"/>
        <w:jc w:val="distribute"/>
        <w:rPr/>
      </w:pPr>
      <w:r>
        <w:rPr>
          <w:rFonts w:ascii="標楷體" w:hAnsi="標楷體"/>
          <w:color w:val="000000"/>
          <w:spacing w:val="16"/>
          <w:sz w:val="28"/>
          <w:szCs w:val="28"/>
        </w:rPr>
        <w:t xml:space="preserve"> </w:t>
      </w:r>
      <w:r>
        <w:rPr>
          <w:rFonts w:ascii="標楷體" w:hAnsi="標楷體"/>
          <w:color w:val="000000"/>
          <w:spacing w:val="16"/>
          <w:sz w:val="28"/>
          <w:szCs w:val="28"/>
        </w:rPr>
        <w:t>消費者違反</w:t>
      </w:r>
      <w:r>
        <w:rPr>
          <w:rFonts w:ascii="標楷體" w:hAnsi="標楷體"/>
          <w:spacing w:val="16"/>
          <w:sz w:val="28"/>
          <w:szCs w:val="28"/>
        </w:rPr>
        <w:t>契約</w:t>
      </w:r>
      <w:r>
        <w:rPr>
          <w:rFonts w:ascii="標楷體" w:hAnsi="標楷體"/>
          <w:color w:val="000000"/>
          <w:spacing w:val="16"/>
          <w:sz w:val="28"/>
          <w:szCs w:val="28"/>
        </w:rPr>
        <w:t>之約定，</w:t>
      </w:r>
      <w:r>
        <w:rPr>
          <w:rFonts w:ascii="標楷體" w:hAnsi="標楷體"/>
          <w:color w:val="000000"/>
          <w:sz w:val="28"/>
          <w:szCs w:val="28"/>
        </w:rPr>
        <w:t>骨灰（骸）存放設施經營業者</w:t>
      </w:r>
      <w:r>
        <w:rPr>
          <w:rFonts w:ascii="標楷體" w:hAnsi="標楷體"/>
          <w:color w:val="000000"/>
          <w:spacing w:val="16"/>
          <w:sz w:val="28"/>
          <w:szCs w:val="28"/>
        </w:rPr>
        <w:t>得予勸阻、制止或為其他必要之處置。</w:t>
      </w:r>
    </w:p>
    <w:p>
      <w:pPr>
        <w:pStyle w:val="Normal"/>
        <w:spacing w:lineRule="exact" w:line="500" w:before="180" w:after="0"/>
        <w:ind w:left="540" w:right="0" w:hanging="0"/>
        <w:jc w:val="distribute"/>
        <w:rPr/>
      </w:pPr>
      <w:r>
        <w:rPr>
          <w:rFonts w:ascii="標楷體" w:hAnsi="標楷體"/>
          <w:spacing w:val="16"/>
          <w:sz w:val="28"/>
          <w:szCs w:val="28"/>
        </w:rPr>
        <w:t>消費者</w:t>
      </w:r>
      <w:r>
        <w:rPr>
          <w:rFonts w:ascii="標楷體" w:hAnsi="標楷體"/>
          <w:color w:val="000000"/>
          <w:spacing w:val="16"/>
          <w:sz w:val="28"/>
          <w:szCs w:val="28"/>
        </w:rPr>
        <w:t>未如期給付價金時，逾期付款達四個月，逾期未繳款達總價金之○○○，</w:t>
      </w:r>
      <w:r>
        <w:rPr>
          <w:rFonts w:ascii="標楷體" w:hAnsi="標楷體"/>
          <w:color w:val="000000"/>
          <w:sz w:val="28"/>
          <w:szCs w:val="28"/>
        </w:rPr>
        <w:t>骨灰（骸）存放設施經營業者</w:t>
      </w:r>
      <w:r>
        <w:rPr>
          <w:rFonts w:ascii="標楷體" w:hAnsi="標楷體"/>
          <w:color w:val="000000"/>
          <w:spacing w:val="16"/>
          <w:sz w:val="28"/>
          <w:szCs w:val="28"/>
        </w:rPr>
        <w:t>得定相當期限催告</w:t>
      </w:r>
      <w:r>
        <w:rPr>
          <w:rFonts w:ascii="標楷體" w:hAnsi="標楷體"/>
          <w:spacing w:val="16"/>
          <w:sz w:val="28"/>
          <w:szCs w:val="28"/>
        </w:rPr>
        <w:t>消費者</w:t>
      </w:r>
      <w:r>
        <w:rPr>
          <w:rFonts w:ascii="標楷體" w:hAnsi="標楷體"/>
          <w:color w:val="000000"/>
          <w:spacing w:val="16"/>
          <w:sz w:val="28"/>
          <w:szCs w:val="28"/>
        </w:rPr>
        <w:t>繳交，如</w:t>
      </w:r>
      <w:r>
        <w:rPr>
          <w:rFonts w:ascii="標楷體" w:hAnsi="標楷體"/>
          <w:spacing w:val="16"/>
          <w:sz w:val="28"/>
          <w:szCs w:val="28"/>
        </w:rPr>
        <w:t>消費者</w:t>
      </w:r>
      <w:r>
        <w:rPr>
          <w:rFonts w:ascii="標楷體" w:hAnsi="標楷體"/>
          <w:color w:val="000000"/>
          <w:spacing w:val="16"/>
          <w:sz w:val="28"/>
          <w:szCs w:val="28"/>
        </w:rPr>
        <w:t>仍未於期限內繳交時，</w:t>
      </w:r>
      <w:r>
        <w:rPr>
          <w:rFonts w:ascii="標楷體" w:hAnsi="標楷體"/>
          <w:color w:val="000000"/>
          <w:sz w:val="28"/>
          <w:szCs w:val="28"/>
        </w:rPr>
        <w:t>骨灰（骸）存放設施經營業者</w:t>
      </w:r>
      <w:r>
        <w:rPr>
          <w:rFonts w:ascii="標楷體" w:hAnsi="標楷體"/>
          <w:color w:val="000000"/>
          <w:spacing w:val="16"/>
          <w:sz w:val="28"/>
          <w:szCs w:val="28"/>
        </w:rPr>
        <w:t>得解除本契約，並沒收已繳之價金，作為損害賠償。</w:t>
      </w:r>
    </w:p>
    <w:p>
      <w:pPr>
        <w:pStyle w:val="Normal"/>
        <w:spacing w:lineRule="exact" w:line="500" w:before="50" w:after="0"/>
        <w:ind w:left="540" w:right="0" w:firstLine="20"/>
        <w:jc w:val="distribute"/>
        <w:rPr/>
      </w:pPr>
      <w:r>
        <w:rPr>
          <w:rFonts w:ascii="標楷體" w:hAnsi="標楷體"/>
          <w:color w:val="000000"/>
          <w:sz w:val="28"/>
          <w:szCs w:val="28"/>
        </w:rPr>
        <w:t>骨灰（骸）存放設施經營業者</w:t>
      </w:r>
      <w:r>
        <w:rPr>
          <w:rFonts w:ascii="標楷體" w:hAnsi="標楷體"/>
          <w:color w:val="000000"/>
          <w:spacing w:val="16"/>
          <w:sz w:val="28"/>
          <w:szCs w:val="28"/>
        </w:rPr>
        <w:t>依前項情形解除本契約者，其得沒收甲方已繳之價金及管理費，依下列約定辦理；超過部分，應於解除契約七日內退還</w:t>
      </w:r>
      <w:r>
        <w:rPr>
          <w:rFonts w:ascii="標楷體" w:hAnsi="標楷體"/>
          <w:spacing w:val="16"/>
          <w:sz w:val="28"/>
          <w:szCs w:val="28"/>
        </w:rPr>
        <w:t>消費者</w:t>
      </w:r>
      <w:r>
        <w:rPr>
          <w:rFonts w:ascii="標楷體" w:hAnsi="標楷體"/>
          <w:color w:val="000000"/>
          <w:spacing w:val="16"/>
          <w:sz w:val="28"/>
          <w:szCs w:val="28"/>
        </w:rPr>
        <w:t>：</w:t>
      </w:r>
    </w:p>
    <w:p>
      <w:pPr>
        <w:pStyle w:val="Normal"/>
        <w:numPr>
          <w:ilvl w:val="0"/>
          <w:numId w:val="9"/>
        </w:numPr>
        <w:tabs>
          <w:tab w:val="clear" w:pos="480"/>
          <w:tab w:val="left" w:pos="855" w:leader="none"/>
        </w:tabs>
        <w:spacing w:lineRule="exact" w:line="500"/>
        <w:ind w:left="855" w:hanging="855"/>
        <w:jc w:val="distribute"/>
        <w:rPr/>
      </w:pPr>
      <w:r>
        <w:rPr>
          <w:rFonts w:ascii="標楷體" w:hAnsi="標楷體"/>
          <w:color w:val="000000"/>
          <w:sz w:val="28"/>
          <w:szCs w:val="28"/>
        </w:rPr>
        <w:t>骨灰（骸）存放設施經營業者於</w:t>
      </w:r>
      <w:r>
        <w:rPr>
          <w:rFonts w:ascii="標楷體" w:hAnsi="標楷體"/>
          <w:color w:val="000000"/>
          <w:spacing w:val="16"/>
          <w:sz w:val="28"/>
          <w:szCs w:val="28"/>
        </w:rPr>
        <w:t>於本契約簽訂之日起超過四個月至一年以內解除契約者，得沒收</w:t>
      </w:r>
      <w:r>
        <w:rPr>
          <w:rFonts w:ascii="標楷體" w:hAnsi="標楷體"/>
          <w:spacing w:val="16"/>
          <w:sz w:val="28"/>
          <w:szCs w:val="28"/>
        </w:rPr>
        <w:t>消費者</w:t>
      </w:r>
      <w:r>
        <w:rPr>
          <w:rFonts w:ascii="標楷體" w:hAnsi="標楷體"/>
          <w:color w:val="000000"/>
          <w:spacing w:val="16"/>
          <w:sz w:val="28"/>
          <w:szCs w:val="28"/>
        </w:rPr>
        <w:t>已繳之價金及管理費不得超過總價金及管理費總和百分之二十。</w:t>
      </w:r>
    </w:p>
    <w:p>
      <w:pPr>
        <w:pStyle w:val="Normal"/>
        <w:numPr>
          <w:ilvl w:val="0"/>
          <w:numId w:val="9"/>
        </w:numPr>
        <w:tabs>
          <w:tab w:val="clear" w:pos="480"/>
          <w:tab w:val="left" w:pos="855" w:leader="none"/>
        </w:tabs>
        <w:spacing w:lineRule="exact" w:line="500"/>
        <w:ind w:left="855" w:hanging="855"/>
        <w:jc w:val="distribute"/>
        <w:rPr/>
      </w:pPr>
      <w:r>
        <w:rPr>
          <w:rFonts w:ascii="標楷體" w:hAnsi="標楷體"/>
          <w:color w:val="000000"/>
          <w:sz w:val="28"/>
          <w:szCs w:val="28"/>
        </w:rPr>
        <w:t>骨灰（骸）存放設施經營業者</w:t>
      </w:r>
      <w:r>
        <w:rPr>
          <w:rFonts w:ascii="標楷體" w:hAnsi="標楷體"/>
          <w:color w:val="000000"/>
          <w:spacing w:val="16"/>
          <w:sz w:val="28"/>
          <w:szCs w:val="28"/>
        </w:rPr>
        <w:t>於本契約簽訂之日起超過一年至三年以內解除契約者，得沒收</w:t>
      </w:r>
      <w:r>
        <w:rPr>
          <w:rFonts w:ascii="標楷體" w:hAnsi="標楷體"/>
          <w:spacing w:val="16"/>
          <w:sz w:val="28"/>
          <w:szCs w:val="28"/>
        </w:rPr>
        <w:t>消費者</w:t>
      </w:r>
      <w:r>
        <w:rPr>
          <w:rFonts w:ascii="標楷體" w:hAnsi="標楷體"/>
          <w:color w:val="000000"/>
          <w:spacing w:val="16"/>
          <w:sz w:val="28"/>
          <w:szCs w:val="28"/>
        </w:rPr>
        <w:t>已繳之價金及管理費不得超過總價金及管理費總和百分之三十。</w:t>
      </w:r>
    </w:p>
    <w:p>
      <w:pPr>
        <w:pStyle w:val="Normal"/>
        <w:numPr>
          <w:ilvl w:val="0"/>
          <w:numId w:val="9"/>
        </w:numPr>
        <w:tabs>
          <w:tab w:val="clear" w:pos="480"/>
          <w:tab w:val="left" w:pos="855" w:leader="none"/>
        </w:tabs>
        <w:spacing w:lineRule="exact" w:line="500"/>
        <w:ind w:left="855" w:hanging="855"/>
        <w:jc w:val="distribute"/>
        <w:rPr/>
      </w:pPr>
      <w:r>
        <w:rPr>
          <w:rFonts w:ascii="標楷體" w:hAnsi="標楷體"/>
          <w:color w:val="000000"/>
          <w:sz w:val="28"/>
          <w:szCs w:val="28"/>
        </w:rPr>
        <w:t>骨灰（骸）存放設施經營業者</w:t>
      </w:r>
      <w:r>
        <w:rPr>
          <w:rFonts w:ascii="標楷體" w:hAnsi="標楷體"/>
          <w:color w:val="000000"/>
          <w:spacing w:val="16"/>
          <w:sz w:val="28"/>
          <w:szCs w:val="28"/>
        </w:rPr>
        <w:t>於本契約簽訂之日起超過三年後解除契約者，已繳之價金及管理費不得超過總價金及管理費總和百分之四十</w:t>
      </w:r>
      <w:r>
        <w:rPr>
          <w:rFonts w:ascii="標楷體" w:hAnsi="標楷體"/>
          <w:color w:val="000000"/>
          <w:sz w:val="28"/>
          <w:szCs w:val="28"/>
        </w:rPr>
        <w:t>。</w:t>
      </w:r>
    </w:p>
    <w:p>
      <w:pPr>
        <w:pStyle w:val="Normal"/>
        <w:spacing w:lineRule="exact" w:line="500" w:before="180" w:after="0"/>
        <w:ind w:left="2" w:right="0" w:hanging="28"/>
        <w:jc w:val="distribute"/>
        <w:rPr/>
      </w:pPr>
      <w:r>
        <w:rPr>
          <w:rFonts w:ascii="標楷體" w:hAnsi="標楷體"/>
          <w:color w:val="000000"/>
          <w:sz w:val="28"/>
          <w:szCs w:val="28"/>
        </w:rPr>
        <w:t>二十九、</w:t>
      </w:r>
      <w:r>
        <w:rPr>
          <w:rFonts w:ascii="標楷體" w:hAnsi="標楷體"/>
          <w:spacing w:val="16"/>
          <w:sz w:val="28"/>
          <w:szCs w:val="28"/>
        </w:rPr>
        <w:t>疑義之處理</w:t>
      </w:r>
    </w:p>
    <w:p>
      <w:pPr>
        <w:pStyle w:val="Normal"/>
        <w:spacing w:lineRule="exact" w:line="500"/>
        <w:jc w:val="distribute"/>
        <w:rPr>
          <w:rFonts w:ascii="標楷體" w:hAnsi="標楷體"/>
          <w:spacing w:val="16"/>
          <w:sz w:val="28"/>
          <w:szCs w:val="28"/>
        </w:rPr>
      </w:pPr>
      <w:r>
        <w:rPr>
          <w:rFonts w:ascii="標楷體" w:hAnsi="標楷體"/>
          <w:spacing w:val="16"/>
          <w:sz w:val="28"/>
          <w:szCs w:val="28"/>
        </w:rPr>
        <w:t xml:space="preserve">   </w:t>
      </w:r>
      <w:r>
        <w:rPr>
          <w:rFonts w:ascii="標楷體" w:hAnsi="標楷體"/>
          <w:spacing w:val="16"/>
          <w:sz w:val="28"/>
          <w:szCs w:val="28"/>
        </w:rPr>
        <w:t>本契約各條款如有疑義時，應為有利於消費者之解釋。</w:t>
      </w:r>
    </w:p>
    <w:p>
      <w:pPr>
        <w:pStyle w:val="Normal"/>
        <w:spacing w:lineRule="exact" w:line="500" w:before="180" w:after="0"/>
        <w:ind w:left="2" w:right="0" w:hanging="28"/>
        <w:jc w:val="distribute"/>
        <w:rPr>
          <w:rFonts w:ascii="標楷體" w:hAnsi="標楷體"/>
          <w:b/>
          <w:color w:val="000000"/>
          <w:sz w:val="28"/>
          <w:szCs w:val="28"/>
        </w:rPr>
      </w:pPr>
      <w:r>
        <w:rPr>
          <w:rFonts w:ascii="標楷體" w:hAnsi="標楷體"/>
          <w:color w:val="000000"/>
          <w:sz w:val="28"/>
          <w:szCs w:val="28"/>
        </w:rPr>
        <w:t>三十、通知</w:t>
      </w:r>
    </w:p>
    <w:p>
      <w:pPr>
        <w:pStyle w:val="Normal"/>
        <w:spacing w:lineRule="exact" w:line="500"/>
        <w:ind w:left="540" w:right="0" w:hanging="0"/>
        <w:jc w:val="distribute"/>
        <w:rPr>
          <w:rFonts w:ascii="標楷體" w:hAnsi="標楷體"/>
          <w:color w:val="000000"/>
          <w:sz w:val="28"/>
          <w:szCs w:val="28"/>
        </w:rPr>
      </w:pPr>
      <w:r>
        <w:rPr>
          <w:rFonts w:ascii="標楷體" w:hAnsi="標楷體"/>
          <w:color w:val="000000"/>
          <w:sz w:val="28"/>
          <w:szCs w:val="28"/>
        </w:rPr>
        <w:t>履行本契約之各項通知應以契約書上記載資料為準，如有變更應主動通知對方。通知不到時，應再次通知，但二次通知期間不得短於十四日。</w:t>
      </w:r>
    </w:p>
    <w:p>
      <w:pPr>
        <w:pStyle w:val="Normal"/>
        <w:spacing w:lineRule="exact" w:line="500" w:before="180" w:after="0"/>
        <w:ind w:left="540" w:right="0" w:hanging="2"/>
        <w:jc w:val="distribute"/>
        <w:rPr>
          <w:rFonts w:ascii="標楷體" w:hAnsi="標楷體"/>
          <w:color w:val="000000"/>
          <w:sz w:val="28"/>
          <w:szCs w:val="28"/>
        </w:rPr>
      </w:pPr>
      <w:r>
        <w:rPr>
          <w:rFonts w:ascii="標楷體" w:hAnsi="標楷體"/>
          <w:color w:val="000000"/>
          <w:sz w:val="28"/>
          <w:szCs w:val="28"/>
        </w:rPr>
        <w:t>前項資料變更因怠於通知他方致通知不到時，以第二次通知日期為有效。</w:t>
      </w:r>
    </w:p>
    <w:p>
      <w:pPr>
        <w:pStyle w:val="Normal"/>
        <w:spacing w:lineRule="exact" w:line="500" w:before="180" w:after="0"/>
        <w:ind w:left="2" w:right="0" w:hanging="28"/>
        <w:jc w:val="distribute"/>
        <w:rPr>
          <w:rFonts w:ascii="標楷體" w:hAnsi="標楷體"/>
          <w:b/>
          <w:color w:val="000000"/>
          <w:sz w:val="28"/>
          <w:szCs w:val="28"/>
        </w:rPr>
      </w:pPr>
      <w:r>
        <w:rPr>
          <w:rFonts w:ascii="標楷體" w:hAnsi="標楷體"/>
          <w:color w:val="000000"/>
          <w:sz w:val="28"/>
          <w:szCs w:val="28"/>
        </w:rPr>
        <w:t>三十一、契約分存</w:t>
      </w:r>
    </w:p>
    <w:p>
      <w:pPr>
        <w:pStyle w:val="Normal"/>
        <w:spacing w:lineRule="exact" w:line="500" w:before="180" w:after="0"/>
        <w:ind w:left="540" w:right="0" w:hanging="0"/>
        <w:jc w:val="distribute"/>
        <w:rPr>
          <w:rFonts w:ascii="標楷體" w:hAnsi="標楷體"/>
          <w:color w:val="000000"/>
          <w:sz w:val="28"/>
          <w:szCs w:val="28"/>
        </w:rPr>
      </w:pPr>
      <w:r>
        <w:rPr>
          <w:rFonts w:ascii="標楷體" w:hAnsi="標楷體"/>
          <w:color w:val="000000"/>
          <w:sz w:val="28"/>
          <w:szCs w:val="28"/>
        </w:rPr>
        <w:t>本契約一式二份，消費者、骨灰（骸）存放設施經營業者雙方各收執乙份。骨灰（骸）存放設施經營業者不得藉故將應交消費者收執之契約收回或留存。</w:t>
      </w:r>
    </w:p>
    <w:p>
      <w:pPr>
        <w:pStyle w:val="Normal"/>
        <w:spacing w:lineRule="exact" w:line="500" w:before="180" w:after="0"/>
        <w:ind w:left="540" w:right="0" w:hanging="0"/>
        <w:jc w:val="distribute"/>
        <w:rPr>
          <w:rFonts w:ascii="標楷體" w:hAnsi="標楷體"/>
          <w:color w:val="000000"/>
          <w:sz w:val="28"/>
          <w:szCs w:val="28"/>
        </w:rPr>
      </w:pPr>
      <w:r>
        <w:rPr>
          <w:rFonts w:ascii="標楷體" w:hAnsi="標楷體"/>
          <w:color w:val="000000"/>
          <w:sz w:val="28"/>
          <w:szCs w:val="28"/>
        </w:rPr>
      </w:r>
    </w:p>
    <w:p>
      <w:pPr>
        <w:pStyle w:val="Normal"/>
        <w:spacing w:lineRule="exact" w:line="500" w:before="180" w:after="0"/>
        <w:ind w:left="2" w:right="0" w:hanging="28"/>
        <w:jc w:val="distribute"/>
        <w:rPr>
          <w:rFonts w:ascii="標楷體" w:hAnsi="標楷體"/>
          <w:b/>
          <w:color w:val="000000"/>
          <w:sz w:val="28"/>
          <w:szCs w:val="28"/>
        </w:rPr>
      </w:pPr>
      <w:r>
        <w:rPr>
          <w:rFonts w:ascii="標楷體" w:hAnsi="標楷體"/>
          <w:color w:val="000000"/>
          <w:sz w:val="28"/>
          <w:szCs w:val="28"/>
        </w:rPr>
        <w:t>三十二、管轄法院</w:t>
      </w:r>
    </w:p>
    <w:p>
      <w:pPr>
        <w:pStyle w:val="Normal"/>
        <w:spacing w:lineRule="exact" w:line="500"/>
        <w:ind w:left="540" w:right="0" w:firstLine="20"/>
        <w:jc w:val="distribute"/>
        <w:rPr>
          <w:rFonts w:ascii="標楷體" w:hAnsi="標楷體"/>
          <w:color w:val="000000"/>
          <w:sz w:val="28"/>
          <w:szCs w:val="28"/>
        </w:rPr>
      </w:pPr>
      <w:r>
        <w:rPr>
          <w:rFonts w:ascii="標楷體" w:hAnsi="標楷體"/>
          <w:color w:val="000000"/>
          <w:sz w:val="28"/>
          <w:szCs w:val="28"/>
        </w:rPr>
        <w:t>雙方因消費爭議發生訴訟時，同意○○地方法院為管轄法院。但不得排除消費者保護法第四十七條及民事訴訟法第四百三十六條之九小額訴訟管轄法院之適用。</w:t>
      </w:r>
    </w:p>
    <w:p>
      <w:pPr>
        <w:pStyle w:val="Normal"/>
        <w:spacing w:lineRule="exact" w:line="400"/>
        <w:jc w:val="distribute"/>
        <w:rPr>
          <w:rFonts w:ascii="標楷體" w:hAnsi="標楷體"/>
          <w:color w:val="000000"/>
          <w:sz w:val="28"/>
          <w:szCs w:val="28"/>
        </w:rPr>
      </w:pPr>
      <w:r>
        <w:rPr>
          <w:rFonts w:ascii="標楷體" w:hAnsi="標楷體"/>
          <w:color w:val="000000"/>
          <w:sz w:val="28"/>
          <w:szCs w:val="28"/>
        </w:rPr>
      </w:r>
    </w:p>
    <w:p>
      <w:pPr>
        <w:pStyle w:val="Normal"/>
        <w:spacing w:lineRule="exact" w:line="500"/>
        <w:rPr/>
      </w:pPr>
      <w:r>
        <w:rPr>
          <w:rFonts w:ascii="標楷體" w:hAnsi="標楷體"/>
          <w:sz w:val="32"/>
          <w:szCs w:val="32"/>
        </w:rPr>
        <w:t>貳、骨灰（骸）存放單位使用權買賣</w:t>
      </w:r>
      <w:r>
        <w:rPr>
          <w:rFonts w:ascii="標楷體" w:hAnsi="標楷體"/>
          <w:b/>
          <w:bCs/>
          <w:color w:val="000000"/>
          <w:sz w:val="32"/>
          <w:szCs w:val="32"/>
        </w:rPr>
        <w:t>定型化契約不得</w:t>
      </w:r>
      <w:r>
        <w:rPr>
          <w:rFonts w:ascii="標楷體" w:hAnsi="標楷體"/>
          <w:sz w:val="32"/>
          <w:szCs w:val="32"/>
        </w:rPr>
        <w:t>記載事項</w:t>
      </w:r>
    </w:p>
    <w:p>
      <w:pPr>
        <w:pStyle w:val="Normal"/>
        <w:numPr>
          <w:ilvl w:val="0"/>
          <w:numId w:val="1"/>
        </w:numPr>
        <w:tabs>
          <w:tab w:val="clear" w:pos="480"/>
          <w:tab w:val="left" w:pos="1080" w:leader="none"/>
        </w:tabs>
        <w:spacing w:lineRule="exact" w:line="500" w:before="0" w:after="50"/>
        <w:ind w:left="1080" w:right="-134" w:hanging="720"/>
        <w:jc w:val="distribute"/>
        <w:rPr>
          <w:rFonts w:ascii="標楷體" w:hAnsi="標楷體"/>
          <w:sz w:val="28"/>
          <w:szCs w:val="28"/>
        </w:rPr>
      </w:pPr>
      <w:r>
        <w:rPr>
          <w:rFonts w:ascii="標楷體" w:hAnsi="標楷體"/>
          <w:sz w:val="28"/>
          <w:szCs w:val="28"/>
        </w:rPr>
        <w:t>不得約定廣告文字、圖片或服務項目僅供參考。</w:t>
      </w:r>
    </w:p>
    <w:p>
      <w:pPr>
        <w:pStyle w:val="Normal"/>
        <w:numPr>
          <w:ilvl w:val="0"/>
          <w:numId w:val="1"/>
        </w:numPr>
        <w:tabs>
          <w:tab w:val="clear" w:pos="480"/>
          <w:tab w:val="left" w:pos="1080" w:leader="none"/>
        </w:tabs>
        <w:spacing w:lineRule="exact" w:line="500" w:before="0" w:after="50"/>
        <w:ind w:left="1080" w:right="-134" w:hanging="720"/>
        <w:jc w:val="distribute"/>
        <w:rPr>
          <w:rFonts w:ascii="標楷體" w:hAnsi="標楷體"/>
          <w:sz w:val="28"/>
          <w:szCs w:val="28"/>
        </w:rPr>
      </w:pPr>
      <w:r>
        <w:rPr>
          <w:rFonts w:ascii="標楷體" w:hAnsi="標楷體"/>
          <w:sz w:val="28"/>
          <w:szCs w:val="28"/>
        </w:rPr>
        <w:t>不得於契約中使用概念模糊或不確定之名詞，例如骨灰（骸）存放  單位所在位置不明確。</w:t>
      </w:r>
    </w:p>
    <w:p>
      <w:pPr>
        <w:pStyle w:val="Normal"/>
        <w:numPr>
          <w:ilvl w:val="0"/>
          <w:numId w:val="1"/>
        </w:numPr>
        <w:tabs>
          <w:tab w:val="clear" w:pos="480"/>
          <w:tab w:val="left" w:pos="1080" w:leader="none"/>
        </w:tabs>
        <w:spacing w:lineRule="exact" w:line="500" w:before="0" w:after="50"/>
        <w:ind w:left="1080" w:right="-134" w:hanging="720"/>
        <w:jc w:val="distribute"/>
        <w:rPr>
          <w:rFonts w:ascii="標楷體" w:hAnsi="標楷體"/>
          <w:sz w:val="28"/>
          <w:szCs w:val="28"/>
        </w:rPr>
      </w:pPr>
      <w:r>
        <w:rPr>
          <w:rFonts w:ascii="標楷體" w:hAnsi="標楷體"/>
          <w:sz w:val="28"/>
          <w:szCs w:val="28"/>
        </w:rPr>
        <w:t>不得約定日後因貨幣升、貶值、通貨膨脹等事由得要求消費者另為金錢之給付。</w:t>
      </w:r>
    </w:p>
    <w:p>
      <w:pPr>
        <w:pStyle w:val="Normal"/>
        <w:numPr>
          <w:ilvl w:val="0"/>
          <w:numId w:val="1"/>
        </w:numPr>
        <w:tabs>
          <w:tab w:val="clear" w:pos="480"/>
          <w:tab w:val="left" w:pos="1080" w:leader="none"/>
        </w:tabs>
        <w:spacing w:lineRule="exact" w:line="500" w:before="0" w:after="50"/>
        <w:ind w:left="1080" w:right="-134" w:hanging="720"/>
        <w:jc w:val="distribute"/>
        <w:rPr>
          <w:rFonts w:ascii="標楷體" w:hAnsi="標楷體"/>
          <w:color w:val="000000"/>
          <w:sz w:val="28"/>
          <w:szCs w:val="28"/>
        </w:rPr>
      </w:pPr>
      <w:r>
        <w:rPr>
          <w:rFonts w:ascii="標楷體" w:hAnsi="標楷體"/>
          <w:color w:val="000000"/>
          <w:sz w:val="28"/>
          <w:szCs w:val="28"/>
        </w:rPr>
        <w:t>不得約定骨灰（骸）存放設施經營業者得因實際情形片面變更骨灰（骸）存放單位所在位置而消費者不得異議。</w:t>
      </w:r>
    </w:p>
    <w:p>
      <w:pPr>
        <w:pStyle w:val="Normal"/>
        <w:numPr>
          <w:ilvl w:val="0"/>
          <w:numId w:val="1"/>
        </w:numPr>
        <w:tabs>
          <w:tab w:val="clear" w:pos="480"/>
          <w:tab w:val="left" w:pos="1080" w:leader="none"/>
        </w:tabs>
        <w:spacing w:lineRule="exact" w:line="500" w:before="0" w:after="50"/>
        <w:ind w:left="1080" w:right="-134" w:hanging="720"/>
        <w:jc w:val="distribute"/>
        <w:rPr>
          <w:rFonts w:ascii="標楷體" w:hAnsi="標楷體"/>
          <w:sz w:val="28"/>
          <w:szCs w:val="28"/>
        </w:rPr>
      </w:pPr>
      <w:r>
        <w:rPr>
          <w:rFonts w:ascii="標楷體" w:hAnsi="標楷體"/>
          <w:sz w:val="28"/>
          <w:szCs w:val="28"/>
        </w:rPr>
        <w:t>不得約定排除消費者解除契約之權利。</w:t>
      </w:r>
    </w:p>
    <w:p>
      <w:pPr>
        <w:pStyle w:val="Normal"/>
        <w:numPr>
          <w:ilvl w:val="0"/>
          <w:numId w:val="1"/>
        </w:numPr>
        <w:tabs>
          <w:tab w:val="clear" w:pos="480"/>
          <w:tab w:val="left" w:pos="1080" w:leader="none"/>
        </w:tabs>
        <w:spacing w:lineRule="exact" w:line="500" w:before="0" w:after="50"/>
        <w:ind w:left="1080" w:right="-134" w:hanging="720"/>
        <w:jc w:val="distribute"/>
        <w:rPr/>
      </w:pPr>
      <w:r>
        <w:rPr>
          <w:rFonts w:ascii="標楷體" w:hAnsi="標楷體"/>
          <w:sz w:val="28"/>
          <w:szCs w:val="28"/>
        </w:rPr>
        <w:t>不得約定簽約後消費者須將契約交由</w:t>
      </w:r>
      <w:r>
        <w:rPr>
          <w:rFonts w:ascii="標楷體" w:hAnsi="標楷體"/>
          <w:color w:val="000000"/>
          <w:sz w:val="28"/>
          <w:szCs w:val="28"/>
        </w:rPr>
        <w:t>骨灰（骸）存放設施經營</w:t>
      </w:r>
      <w:r>
        <w:rPr>
          <w:rFonts w:ascii="標楷體" w:hAnsi="標楷體"/>
          <w:sz w:val="28"/>
          <w:szCs w:val="28"/>
        </w:rPr>
        <w:t>業者留存。</w:t>
      </w:r>
    </w:p>
    <w:p>
      <w:pPr>
        <w:pStyle w:val="Normal"/>
        <w:numPr>
          <w:ilvl w:val="0"/>
          <w:numId w:val="1"/>
        </w:numPr>
        <w:tabs>
          <w:tab w:val="clear" w:pos="480"/>
          <w:tab w:val="left" w:pos="1080" w:leader="none"/>
        </w:tabs>
        <w:spacing w:lineRule="exact" w:line="500" w:before="0" w:after="0"/>
        <w:ind w:left="1080" w:right="-134" w:hanging="720"/>
        <w:jc w:val="distribute"/>
        <w:rPr>
          <w:rFonts w:ascii="標楷體" w:hAnsi="標楷體"/>
          <w:sz w:val="28"/>
          <w:szCs w:val="28"/>
        </w:rPr>
      </w:pPr>
      <w:r>
        <w:rPr>
          <w:rFonts w:ascii="標楷體" w:hAnsi="標楷體"/>
          <w:sz w:val="28"/>
          <w:szCs w:val="28"/>
        </w:rPr>
        <w:t>不得為其他違反法律強制或禁止規定之約定。</w:t>
      </w:r>
    </w:p>
    <w:sectPr>
      <w:type w:val="nextPage"/>
      <w:pgSz w:w="11906" w:h="16838"/>
      <w:pgMar w:left="1418" w:right="1418" w:header="0" w:top="1418" w:footer="0" w:bottom="141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細明體">
    <w:charset w:val="88"/>
    <w:family w:val="modern"/>
    <w:pitch w:val="fixed"/>
  </w:font>
  <w:font w:name="Calibri">
    <w:charset w:val="88"/>
    <w:family w:val="swiss"/>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720"/>
      </w:pPr>
      <w:rPr>
        <w:u w:val="none"/>
      </w:rPr>
    </w:lvl>
    <w:lvl w:ilvl="1">
      <w:start w:val="1"/>
      <w:numFmt w:val="decimal"/>
      <w:lvlText w:val="%2、"/>
      <w:lvlJc w:val="left"/>
      <w:pPr>
        <w:tabs>
          <w:tab w:val="num" w:pos="960"/>
        </w:tabs>
        <w:ind w:left="960" w:hanging="480"/>
      </w:pPr>
      <w:rPr/>
    </w:lvl>
    <w:lvl w:ilvl="2">
      <w:start w:val="1"/>
      <w:numFmt w:val="lowerRoman"/>
      <w:lvlText w:val="%3."/>
      <w:lvlJc w:val="right"/>
      <w:pPr>
        <w:tabs>
          <w:tab w:val="num" w:pos="1440"/>
        </w:tabs>
        <w:ind w:left="1440" w:hanging="480"/>
      </w:pPr>
      <w:rPr/>
    </w:lvl>
    <w:lvl w:ilvl="3">
      <w:start w:val="1"/>
      <w:numFmt w:val="decimal"/>
      <w:lvlText w:val="%4."/>
      <w:lvlJc w:val="left"/>
      <w:pPr>
        <w:tabs>
          <w:tab w:val="num" w:pos="1920"/>
        </w:tabs>
        <w:ind w:left="1920" w:hanging="480"/>
      </w:pPr>
      <w:rPr/>
    </w:lvl>
    <w:lvl w:ilvl="4">
      <w:start w:val="1"/>
      <w:numFmt w:val="decim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decim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2">
    <w:lvl w:ilvl="0">
      <w:start w:val="1"/>
      <w:numFmt w:val="decimal"/>
      <w:lvlText w:val="%1、"/>
      <w:lvlJc w:val="left"/>
      <w:pPr>
        <w:tabs>
          <w:tab w:val="num" w:pos="720"/>
        </w:tabs>
        <w:ind w:left="720" w:hanging="720"/>
      </w:pPr>
      <w:rPr>
        <w:color w:val="000000"/>
      </w:rPr>
    </w:lvl>
    <w:lvl w:ilvl="1">
      <w:start w:val="1"/>
      <w:numFmt w:val="decimal"/>
      <w:lvlText w:val="%2、"/>
      <w:lvlJc w:val="left"/>
      <w:pPr>
        <w:tabs>
          <w:tab w:val="num" w:pos="960"/>
        </w:tabs>
        <w:ind w:left="960" w:hanging="480"/>
      </w:pPr>
      <w:rPr/>
    </w:lvl>
    <w:lvl w:ilvl="2">
      <w:start w:val="1"/>
      <w:numFmt w:val="lowerRoman"/>
      <w:lvlText w:val="%3."/>
      <w:lvlJc w:val="right"/>
      <w:pPr>
        <w:tabs>
          <w:tab w:val="num" w:pos="1440"/>
        </w:tabs>
        <w:ind w:left="1440" w:hanging="480"/>
      </w:pPr>
      <w:rPr/>
    </w:lvl>
    <w:lvl w:ilvl="3">
      <w:start w:val="1"/>
      <w:numFmt w:val="decimal"/>
      <w:lvlText w:val="%4."/>
      <w:lvlJc w:val="left"/>
      <w:pPr>
        <w:tabs>
          <w:tab w:val="num" w:pos="1920"/>
        </w:tabs>
        <w:ind w:left="1920" w:hanging="480"/>
      </w:pPr>
      <w:rPr/>
    </w:lvl>
    <w:lvl w:ilvl="4">
      <w:start w:val="1"/>
      <w:numFmt w:val="decim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decim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3">
    <w:lvl w:ilvl="0">
      <w:start w:val="1"/>
      <w:numFmt w:val="decimal"/>
      <w:lvlText w:val="（%1）"/>
      <w:lvlJc w:val="left"/>
      <w:pPr>
        <w:tabs>
          <w:tab w:val="num" w:pos="855"/>
        </w:tabs>
        <w:ind w:left="855" w:hanging="855"/>
      </w:pPr>
      <w:rPr>
        <w:dstrike w:val="false"/>
        <w:strike w:val="false"/>
        <w:sz w:val="28"/>
        <w:spacing w:val="0"/>
        <w:i w:val="false"/>
        <w:u w:val="none"/>
        <w:b w:val="false"/>
        <w:szCs w:val="28"/>
        <w:iCs w:val="false"/>
        <w:bCs w:val="false"/>
        <w:w w:val="100"/>
        <w:vanish w:val="false"/>
        <w:color w:val="000000"/>
      </w:rPr>
    </w:lvl>
    <w:lvl w:ilvl="1">
      <w:start w:val="1"/>
      <w:numFmt w:val="decimal"/>
      <w:lvlText w:val="%2、"/>
      <w:lvlJc w:val="left"/>
      <w:pPr>
        <w:tabs>
          <w:tab w:val="num" w:pos="960"/>
        </w:tabs>
        <w:ind w:left="960" w:hanging="480"/>
      </w:pPr>
      <w:rPr/>
    </w:lvl>
    <w:lvl w:ilvl="2">
      <w:start w:val="1"/>
      <w:numFmt w:val="lowerRoman"/>
      <w:lvlText w:val="%3."/>
      <w:lvlJc w:val="right"/>
      <w:pPr>
        <w:tabs>
          <w:tab w:val="num" w:pos="1440"/>
        </w:tabs>
        <w:ind w:left="1440" w:hanging="480"/>
      </w:pPr>
      <w:rPr/>
    </w:lvl>
    <w:lvl w:ilvl="3">
      <w:start w:val="1"/>
      <w:numFmt w:val="decimal"/>
      <w:lvlText w:val="%4."/>
      <w:lvlJc w:val="left"/>
      <w:pPr>
        <w:tabs>
          <w:tab w:val="num" w:pos="1920"/>
        </w:tabs>
        <w:ind w:left="1920" w:hanging="480"/>
      </w:pPr>
      <w:rPr/>
    </w:lvl>
    <w:lvl w:ilvl="4">
      <w:start w:val="1"/>
      <w:numFmt w:val="decim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decim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4">
    <w:lvl w:ilvl="0">
      <w:start w:val="1"/>
      <w:numFmt w:val="decimal"/>
      <w:lvlText w:val="（%1）"/>
      <w:lvlJc w:val="left"/>
      <w:pPr>
        <w:tabs>
          <w:tab w:val="num" w:pos="1815"/>
        </w:tabs>
        <w:ind w:left="1815" w:hanging="855"/>
      </w:pPr>
      <w:rPr/>
    </w:lvl>
    <w:lvl w:ilvl="1">
      <w:start w:val="1"/>
      <w:numFmt w:val="decimal"/>
      <w:lvlText w:val="%2、"/>
      <w:lvlJc w:val="left"/>
      <w:pPr>
        <w:tabs>
          <w:tab w:val="num" w:pos="1500"/>
        </w:tabs>
        <w:ind w:left="1500" w:hanging="480"/>
      </w:pPr>
      <w:rPr/>
    </w:lvl>
    <w:lvl w:ilvl="2">
      <w:start w:val="1"/>
      <w:numFmt w:val="lowerRoman"/>
      <w:lvlText w:val="%3."/>
      <w:lvlJc w:val="right"/>
      <w:pPr>
        <w:tabs>
          <w:tab w:val="num" w:pos="1980"/>
        </w:tabs>
        <w:ind w:left="1980" w:hanging="480"/>
      </w:pPr>
      <w:rPr/>
    </w:lvl>
    <w:lvl w:ilvl="3">
      <w:start w:val="1"/>
      <w:numFmt w:val="decimal"/>
      <w:lvlText w:val="%4."/>
      <w:lvlJc w:val="left"/>
      <w:pPr>
        <w:tabs>
          <w:tab w:val="num" w:pos="2460"/>
        </w:tabs>
        <w:ind w:left="2460" w:hanging="480"/>
      </w:pPr>
      <w:rPr/>
    </w:lvl>
    <w:lvl w:ilvl="4">
      <w:start w:val="1"/>
      <w:numFmt w:val="decimal"/>
      <w:lvlText w:val="%5、"/>
      <w:lvlJc w:val="left"/>
      <w:pPr>
        <w:tabs>
          <w:tab w:val="num" w:pos="2940"/>
        </w:tabs>
        <w:ind w:left="2940" w:hanging="480"/>
      </w:pPr>
      <w:rPr/>
    </w:lvl>
    <w:lvl w:ilvl="5">
      <w:start w:val="1"/>
      <w:numFmt w:val="lowerRoman"/>
      <w:lvlText w:val="%6."/>
      <w:lvlJc w:val="right"/>
      <w:pPr>
        <w:tabs>
          <w:tab w:val="num" w:pos="3420"/>
        </w:tabs>
        <w:ind w:left="3420" w:hanging="480"/>
      </w:pPr>
      <w:rPr/>
    </w:lvl>
    <w:lvl w:ilvl="6">
      <w:start w:val="1"/>
      <w:numFmt w:val="decimal"/>
      <w:lvlText w:val="%7."/>
      <w:lvlJc w:val="left"/>
      <w:pPr>
        <w:tabs>
          <w:tab w:val="num" w:pos="3900"/>
        </w:tabs>
        <w:ind w:left="3900" w:hanging="480"/>
      </w:pPr>
      <w:rPr/>
    </w:lvl>
    <w:lvl w:ilvl="7">
      <w:start w:val="1"/>
      <w:numFmt w:val="decimal"/>
      <w:lvlText w:val="%8、"/>
      <w:lvlJc w:val="left"/>
      <w:pPr>
        <w:tabs>
          <w:tab w:val="num" w:pos="4380"/>
        </w:tabs>
        <w:ind w:left="4380" w:hanging="480"/>
      </w:pPr>
      <w:rPr/>
    </w:lvl>
    <w:lvl w:ilvl="8">
      <w:start w:val="1"/>
      <w:numFmt w:val="lowerRoman"/>
      <w:lvlText w:val="%9."/>
      <w:lvlJc w:val="right"/>
      <w:pPr>
        <w:tabs>
          <w:tab w:val="num" w:pos="4860"/>
        </w:tabs>
        <w:ind w:left="4860" w:hanging="480"/>
      </w:pPr>
      <w:rPr/>
    </w:lvl>
  </w:abstractNum>
  <w:abstractNum w:abstractNumId="5">
    <w:lvl w:ilvl="0">
      <w:start w:val="1"/>
      <w:numFmt w:val="decimal"/>
      <w:lvlText w:val="（%1）"/>
      <w:lvlJc w:val="left"/>
      <w:pPr>
        <w:tabs>
          <w:tab w:val="num" w:pos="1215"/>
        </w:tabs>
        <w:ind w:left="1215" w:hanging="855"/>
      </w:pPr>
      <w:rPr/>
    </w:lvl>
    <w:lvl w:ilvl="1">
      <w:start w:val="1"/>
      <w:numFmt w:val="decimal"/>
      <w:lvlText w:val="%2、"/>
      <w:lvlJc w:val="left"/>
      <w:pPr>
        <w:tabs>
          <w:tab w:val="num" w:pos="1471"/>
        </w:tabs>
        <w:ind w:left="1471" w:hanging="480"/>
      </w:pPr>
      <w:rPr/>
    </w:lvl>
    <w:lvl w:ilvl="2">
      <w:start w:val="1"/>
      <w:numFmt w:val="lowerRoman"/>
      <w:lvlText w:val="%3."/>
      <w:lvlJc w:val="right"/>
      <w:pPr>
        <w:tabs>
          <w:tab w:val="num" w:pos="1951"/>
        </w:tabs>
        <w:ind w:left="1951" w:hanging="480"/>
      </w:pPr>
      <w:rPr/>
    </w:lvl>
    <w:lvl w:ilvl="3">
      <w:start w:val="1"/>
      <w:numFmt w:val="decimal"/>
      <w:lvlText w:val="%4."/>
      <w:lvlJc w:val="left"/>
      <w:pPr>
        <w:tabs>
          <w:tab w:val="num" w:pos="2431"/>
        </w:tabs>
        <w:ind w:left="2431" w:hanging="480"/>
      </w:pPr>
      <w:rPr/>
    </w:lvl>
    <w:lvl w:ilvl="4">
      <w:start w:val="1"/>
      <w:numFmt w:val="decimal"/>
      <w:lvlText w:val="%5、"/>
      <w:lvlJc w:val="left"/>
      <w:pPr>
        <w:tabs>
          <w:tab w:val="num" w:pos="2911"/>
        </w:tabs>
        <w:ind w:left="2911" w:hanging="480"/>
      </w:pPr>
      <w:rPr/>
    </w:lvl>
    <w:lvl w:ilvl="5">
      <w:start w:val="1"/>
      <w:numFmt w:val="lowerRoman"/>
      <w:lvlText w:val="%6."/>
      <w:lvlJc w:val="right"/>
      <w:pPr>
        <w:tabs>
          <w:tab w:val="num" w:pos="3391"/>
        </w:tabs>
        <w:ind w:left="3391" w:hanging="480"/>
      </w:pPr>
      <w:rPr/>
    </w:lvl>
    <w:lvl w:ilvl="6">
      <w:start w:val="1"/>
      <w:numFmt w:val="decimal"/>
      <w:lvlText w:val="%7."/>
      <w:lvlJc w:val="left"/>
      <w:pPr>
        <w:tabs>
          <w:tab w:val="num" w:pos="3871"/>
        </w:tabs>
        <w:ind w:left="3871" w:hanging="480"/>
      </w:pPr>
      <w:rPr/>
    </w:lvl>
    <w:lvl w:ilvl="7">
      <w:start w:val="1"/>
      <w:numFmt w:val="decimal"/>
      <w:lvlText w:val="%8、"/>
      <w:lvlJc w:val="left"/>
      <w:pPr>
        <w:tabs>
          <w:tab w:val="num" w:pos="4351"/>
        </w:tabs>
        <w:ind w:left="4351" w:hanging="480"/>
      </w:pPr>
      <w:rPr/>
    </w:lvl>
    <w:lvl w:ilvl="8">
      <w:start w:val="1"/>
      <w:numFmt w:val="lowerRoman"/>
      <w:lvlText w:val="%9."/>
      <w:lvlJc w:val="right"/>
      <w:pPr>
        <w:tabs>
          <w:tab w:val="num" w:pos="4831"/>
        </w:tabs>
        <w:ind w:left="4831" w:hanging="480"/>
      </w:pPr>
      <w:rPr/>
    </w:lvl>
  </w:abstractNum>
  <w:abstractNum w:abstractNumId="6">
    <w:lvl w:ilvl="0">
      <w:start w:val="1"/>
      <w:numFmt w:val="decimal"/>
      <w:lvlText w:val="（%1）"/>
      <w:lvlJc w:val="left"/>
      <w:pPr>
        <w:tabs>
          <w:tab w:val="num" w:pos="1815"/>
        </w:tabs>
        <w:ind w:left="1815" w:hanging="855"/>
      </w:pPr>
      <w:rPr/>
    </w:lvl>
    <w:lvl w:ilvl="1">
      <w:start w:val="1"/>
      <w:numFmt w:val="decimal"/>
      <w:lvlText w:val="%2、"/>
      <w:lvlJc w:val="left"/>
      <w:pPr>
        <w:tabs>
          <w:tab w:val="num" w:pos="1500"/>
        </w:tabs>
        <w:ind w:left="1500" w:hanging="480"/>
      </w:pPr>
      <w:rPr/>
    </w:lvl>
    <w:lvl w:ilvl="2">
      <w:start w:val="1"/>
      <w:numFmt w:val="lowerRoman"/>
      <w:lvlText w:val="%3."/>
      <w:lvlJc w:val="right"/>
      <w:pPr>
        <w:tabs>
          <w:tab w:val="num" w:pos="1980"/>
        </w:tabs>
        <w:ind w:left="1980" w:hanging="480"/>
      </w:pPr>
      <w:rPr/>
    </w:lvl>
    <w:lvl w:ilvl="3">
      <w:start w:val="1"/>
      <w:numFmt w:val="decimal"/>
      <w:lvlText w:val="%4."/>
      <w:lvlJc w:val="left"/>
      <w:pPr>
        <w:tabs>
          <w:tab w:val="num" w:pos="2460"/>
        </w:tabs>
        <w:ind w:left="2460" w:hanging="480"/>
      </w:pPr>
      <w:rPr/>
    </w:lvl>
    <w:lvl w:ilvl="4">
      <w:start w:val="1"/>
      <w:numFmt w:val="decimal"/>
      <w:lvlText w:val="%5、"/>
      <w:lvlJc w:val="left"/>
      <w:pPr>
        <w:tabs>
          <w:tab w:val="num" w:pos="2940"/>
        </w:tabs>
        <w:ind w:left="2940" w:hanging="480"/>
      </w:pPr>
      <w:rPr/>
    </w:lvl>
    <w:lvl w:ilvl="5">
      <w:start w:val="1"/>
      <w:numFmt w:val="lowerRoman"/>
      <w:lvlText w:val="%6."/>
      <w:lvlJc w:val="right"/>
      <w:pPr>
        <w:tabs>
          <w:tab w:val="num" w:pos="3420"/>
        </w:tabs>
        <w:ind w:left="3420" w:hanging="480"/>
      </w:pPr>
      <w:rPr/>
    </w:lvl>
    <w:lvl w:ilvl="6">
      <w:start w:val="1"/>
      <w:numFmt w:val="decimal"/>
      <w:lvlText w:val="%7."/>
      <w:lvlJc w:val="left"/>
      <w:pPr>
        <w:tabs>
          <w:tab w:val="num" w:pos="3900"/>
        </w:tabs>
        <w:ind w:left="3900" w:hanging="480"/>
      </w:pPr>
      <w:rPr/>
    </w:lvl>
    <w:lvl w:ilvl="7">
      <w:start w:val="1"/>
      <w:numFmt w:val="decimal"/>
      <w:lvlText w:val="%8、"/>
      <w:lvlJc w:val="left"/>
      <w:pPr>
        <w:tabs>
          <w:tab w:val="num" w:pos="4380"/>
        </w:tabs>
        <w:ind w:left="4380" w:hanging="480"/>
      </w:pPr>
      <w:rPr/>
    </w:lvl>
    <w:lvl w:ilvl="8">
      <w:start w:val="1"/>
      <w:numFmt w:val="lowerRoman"/>
      <w:lvlText w:val="%9."/>
      <w:lvlJc w:val="right"/>
      <w:pPr>
        <w:tabs>
          <w:tab w:val="num" w:pos="4860"/>
        </w:tabs>
        <w:ind w:left="4860" w:hanging="480"/>
      </w:pPr>
      <w:rPr/>
    </w:lvl>
  </w:abstractNum>
  <w:abstractNum w:abstractNumId="7">
    <w:lvl w:ilvl="0">
      <w:start w:val="1"/>
      <w:numFmt w:val="decimal"/>
      <w:lvlText w:val="（%1）"/>
      <w:lvlJc w:val="left"/>
      <w:pPr>
        <w:tabs>
          <w:tab w:val="num" w:pos="1215"/>
        </w:tabs>
        <w:ind w:left="1215" w:hanging="855"/>
      </w:pPr>
      <w:rPr/>
    </w:lvl>
    <w:lvl w:ilvl="1">
      <w:start w:val="1"/>
      <w:numFmt w:val="decimal"/>
      <w:lvlText w:val="%2、"/>
      <w:lvlJc w:val="left"/>
      <w:pPr>
        <w:tabs>
          <w:tab w:val="num" w:pos="900"/>
        </w:tabs>
        <w:ind w:left="900" w:hanging="480"/>
      </w:pPr>
      <w:rPr/>
    </w:lvl>
    <w:lvl w:ilvl="2">
      <w:start w:val="1"/>
      <w:numFmt w:val="lowerRoman"/>
      <w:lvlText w:val="%3."/>
      <w:lvlJc w:val="right"/>
      <w:pPr>
        <w:tabs>
          <w:tab w:val="num" w:pos="1380"/>
        </w:tabs>
        <w:ind w:left="1380" w:hanging="480"/>
      </w:pPr>
      <w:rPr/>
    </w:lvl>
    <w:lvl w:ilvl="3">
      <w:start w:val="1"/>
      <w:numFmt w:val="decimal"/>
      <w:lvlText w:val="%4."/>
      <w:lvlJc w:val="left"/>
      <w:pPr>
        <w:tabs>
          <w:tab w:val="num" w:pos="1860"/>
        </w:tabs>
        <w:ind w:left="1860" w:hanging="480"/>
      </w:pPr>
      <w:rPr/>
    </w:lvl>
    <w:lvl w:ilvl="4">
      <w:start w:val="1"/>
      <w:numFmt w:val="decimal"/>
      <w:lvlText w:val="%5、"/>
      <w:lvlJc w:val="left"/>
      <w:pPr>
        <w:tabs>
          <w:tab w:val="num" w:pos="2340"/>
        </w:tabs>
        <w:ind w:left="2340" w:hanging="480"/>
      </w:pPr>
      <w:rPr/>
    </w:lvl>
    <w:lvl w:ilvl="5">
      <w:start w:val="1"/>
      <w:numFmt w:val="lowerRoman"/>
      <w:lvlText w:val="%6."/>
      <w:lvlJc w:val="right"/>
      <w:pPr>
        <w:tabs>
          <w:tab w:val="num" w:pos="2820"/>
        </w:tabs>
        <w:ind w:left="2820" w:hanging="480"/>
      </w:pPr>
      <w:rPr/>
    </w:lvl>
    <w:lvl w:ilvl="6">
      <w:start w:val="1"/>
      <w:numFmt w:val="decimal"/>
      <w:lvlText w:val="%7."/>
      <w:lvlJc w:val="left"/>
      <w:pPr>
        <w:tabs>
          <w:tab w:val="num" w:pos="3300"/>
        </w:tabs>
        <w:ind w:left="3300" w:hanging="480"/>
      </w:pPr>
      <w:rPr/>
    </w:lvl>
    <w:lvl w:ilvl="7">
      <w:start w:val="1"/>
      <w:numFmt w:val="decimal"/>
      <w:lvlText w:val="%8、"/>
      <w:lvlJc w:val="left"/>
      <w:pPr>
        <w:tabs>
          <w:tab w:val="num" w:pos="3780"/>
        </w:tabs>
        <w:ind w:left="3780" w:hanging="480"/>
      </w:pPr>
      <w:rPr/>
    </w:lvl>
    <w:lvl w:ilvl="8">
      <w:start w:val="1"/>
      <w:numFmt w:val="lowerRoman"/>
      <w:lvlText w:val="%9."/>
      <w:lvlJc w:val="right"/>
      <w:pPr>
        <w:tabs>
          <w:tab w:val="num" w:pos="4260"/>
        </w:tabs>
        <w:ind w:left="4260" w:hanging="480"/>
      </w:pPr>
      <w:rPr/>
    </w:lvl>
  </w:abstractNum>
  <w:abstractNum w:abstractNumId="8">
    <w:lvl w:ilvl="0">
      <w:start w:val="1"/>
      <w:numFmt w:val="decimal"/>
      <w:lvlText w:val="（%1）"/>
      <w:lvlJc w:val="left"/>
      <w:pPr>
        <w:tabs>
          <w:tab w:val="num" w:pos="855"/>
        </w:tabs>
        <w:ind w:left="855" w:hanging="855"/>
      </w:pPr>
      <w:rPr>
        <w:b w:val="false"/>
        <w:color w:val="000000"/>
      </w:rPr>
    </w:lvl>
    <w:lvl w:ilvl="1">
      <w:start w:val="1"/>
      <w:numFmt w:val="decimal"/>
      <w:lvlText w:val="%2、"/>
      <w:lvlJc w:val="left"/>
      <w:pPr>
        <w:tabs>
          <w:tab w:val="num" w:pos="960"/>
        </w:tabs>
        <w:ind w:left="960" w:hanging="480"/>
      </w:pPr>
      <w:rPr/>
    </w:lvl>
    <w:lvl w:ilvl="2">
      <w:start w:val="1"/>
      <w:numFmt w:val="lowerRoman"/>
      <w:lvlText w:val="%3."/>
      <w:lvlJc w:val="right"/>
      <w:pPr>
        <w:tabs>
          <w:tab w:val="num" w:pos="1440"/>
        </w:tabs>
        <w:ind w:left="1440" w:hanging="480"/>
      </w:pPr>
      <w:rPr/>
    </w:lvl>
    <w:lvl w:ilvl="3">
      <w:start w:val="1"/>
      <w:numFmt w:val="decimal"/>
      <w:lvlText w:val="%4."/>
      <w:lvlJc w:val="left"/>
      <w:pPr>
        <w:tabs>
          <w:tab w:val="num" w:pos="1920"/>
        </w:tabs>
        <w:ind w:left="1920" w:hanging="480"/>
      </w:pPr>
      <w:rPr/>
    </w:lvl>
    <w:lvl w:ilvl="4">
      <w:start w:val="1"/>
      <w:numFmt w:val="decim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decim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9">
    <w:lvl w:ilvl="0">
      <w:start w:val="1"/>
      <w:numFmt w:val="decimal"/>
      <w:lvlText w:val="（%1）"/>
      <w:lvlJc w:val="left"/>
      <w:pPr>
        <w:tabs>
          <w:tab w:val="num" w:pos="855"/>
        </w:tabs>
        <w:ind w:left="855" w:hanging="855"/>
      </w:pPr>
      <w:rPr>
        <w:b w:val="false"/>
        <w:lang w:val="en-US"/>
      </w:rPr>
    </w:lvl>
    <w:lvl w:ilvl="1">
      <w:start w:val="1"/>
      <w:numFmt w:val="decimal"/>
      <w:lvlText w:val="%2、"/>
      <w:lvlJc w:val="left"/>
      <w:pPr>
        <w:tabs>
          <w:tab w:val="num" w:pos="960"/>
        </w:tabs>
        <w:ind w:left="960" w:hanging="480"/>
      </w:pPr>
      <w:rPr/>
    </w:lvl>
    <w:lvl w:ilvl="2">
      <w:start w:val="1"/>
      <w:numFmt w:val="lowerRoman"/>
      <w:lvlText w:val="%3."/>
      <w:lvlJc w:val="right"/>
      <w:pPr>
        <w:tabs>
          <w:tab w:val="num" w:pos="1440"/>
        </w:tabs>
        <w:ind w:left="1440" w:hanging="480"/>
      </w:pPr>
      <w:rPr/>
    </w:lvl>
    <w:lvl w:ilvl="3">
      <w:start w:val="1"/>
      <w:numFmt w:val="decimal"/>
      <w:lvlText w:val="%4."/>
      <w:lvlJc w:val="left"/>
      <w:pPr>
        <w:tabs>
          <w:tab w:val="num" w:pos="1920"/>
        </w:tabs>
        <w:ind w:left="1920" w:hanging="480"/>
      </w:pPr>
      <w:rPr/>
    </w:lvl>
    <w:lvl w:ilvl="4">
      <w:start w:val="1"/>
      <w:numFmt w:val="decim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decim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sz w:val="20"/>
        <w:lang w:val="zh-TW" w:eastAsia="zh-TW" w:bidi="zh-TW"/>
      </w:rPr>
    </w:rPrDefault>
    <w:pPrDefault>
      <w:pPr/>
    </w:pPrDefault>
  </w:docDefaults>
  <w:style w:type="paragraph" w:styleId="Normal">
    <w:name w:val="Normal"/>
    <w:qFormat/>
    <w:pPr>
      <w:widowControl w:val="false"/>
      <w:kinsoku w:val="true"/>
      <w:overflowPunct w:val="true"/>
      <w:autoSpaceDE w:val="true"/>
      <w:bidi w:val="0"/>
    </w:pPr>
    <w:rPr>
      <w:rFonts w:eastAsia="標楷體" w:ascii="Times New Roman" w:hAnsi="Times New Roman" w:cs="Times New Roman"/>
      <w:color w:val="auto"/>
      <w:sz w:val="24"/>
      <w:szCs w:val="20"/>
      <w:lang w:val="en-US" w:eastAsia="zh-TW" w:bidi="zh-TW"/>
    </w:rPr>
  </w:style>
  <w:style w:type="character" w:styleId="DefaultParagraphFont">
    <w:name w:val="Default Paragraph Font"/>
    <w:qFormat/>
    <w:rPr/>
  </w:style>
  <w:style w:type="character" w:styleId="Style14">
    <w:name w:val=" 字元"/>
    <w:qFormat/>
    <w:rPr>
      <w:rFonts w:ascii="細明體" w:hAnsi="細明體" w:eastAsia="細明體" w:cs="細明體"/>
      <w:sz w:val="24"/>
      <w:szCs w:val="24"/>
      <w:lang w:val="en-US"/>
    </w:rPr>
  </w:style>
  <w:style w:type="character" w:styleId="List1Level4">
    <w:name w:val="List1Level4"/>
    <w:qFormat/>
    <w:rPr>
      <w:rFonts w:ascii="Calibri" w:hAnsi="Calibri" w:eastAsia="標楷體" w:cs="Calibri"/>
      <w:b w:val="false"/>
      <w:bCs w:val="false"/>
      <w:i w:val="false"/>
      <w:iCs w:val="false"/>
      <w:strike w:val="false"/>
      <w:dstrike w:val="false"/>
      <w:vanish w:val="false"/>
      <w:color w:val="000000"/>
      <w:spacing w:val="0"/>
      <w:w w:val="100"/>
      <w:sz w:val="24"/>
      <w:szCs w:val="24"/>
      <w:u w:val="none"/>
    </w:rPr>
  </w:style>
  <w:style w:type="character" w:styleId="List3Level0">
    <w:name w:val="List3Level0"/>
    <w:qFormat/>
    <w:rPr>
      <w:u w:val="none"/>
    </w:rPr>
  </w:style>
  <w:style w:type="character" w:styleId="List4Level0">
    <w:name w:val="List4Level0"/>
    <w:qFormat/>
    <w:rPr>
      <w:color w:val="000000"/>
    </w:rPr>
  </w:style>
  <w:style w:type="character" w:styleId="List5Level0">
    <w:name w:val="List5Level0"/>
    <w:qFormat/>
    <w:rPr>
      <w:b w:val="false"/>
      <w:bCs w:val="false"/>
      <w:i w:val="false"/>
      <w:iCs w:val="false"/>
      <w:strike w:val="false"/>
      <w:dstrike w:val="false"/>
      <w:vanish w:val="false"/>
      <w:color w:val="000000"/>
      <w:spacing w:val="0"/>
      <w:w w:val="100"/>
      <w:sz w:val="28"/>
      <w:szCs w:val="28"/>
      <w:u w:val="none"/>
    </w:rPr>
  </w:style>
  <w:style w:type="character" w:styleId="List11Level0">
    <w:name w:val="List11Level0"/>
    <w:qFormat/>
    <w:rPr>
      <w:b w:val="false"/>
      <w:color w:val="000000"/>
    </w:rPr>
  </w:style>
  <w:style w:type="character" w:styleId="List12Level0">
    <w:name w:val="List12Level0"/>
    <w:qFormat/>
    <w:rPr>
      <w:b w:val="false"/>
      <w:lang w:val="en-US"/>
    </w:rPr>
  </w:style>
  <w:style w:type="character" w:styleId="List1Level0">
    <w:name w:val="List1Level0"/>
    <w:qFormat/>
    <w:rPr/>
  </w:style>
  <w:style w:type="character" w:styleId="List1Level1">
    <w:name w:val="List1Level1"/>
    <w:qFormat/>
    <w:rPr/>
  </w:style>
  <w:style w:type="character" w:styleId="List1Level2">
    <w:name w:val="List1Level2"/>
    <w:qFormat/>
    <w:rPr/>
  </w:style>
  <w:style w:type="character" w:styleId="List1Level3">
    <w:name w:val="List1Level3"/>
    <w:qFormat/>
    <w:rPr/>
  </w:style>
  <w:style w:type="character" w:styleId="List1Level5">
    <w:name w:val="List1Level5"/>
    <w:qFormat/>
    <w:rPr/>
  </w:style>
  <w:style w:type="character" w:styleId="List1Level6">
    <w:name w:val="List1Level6"/>
    <w:qFormat/>
    <w:rPr/>
  </w:style>
  <w:style w:type="character" w:styleId="List1Level7">
    <w:name w:val="List1Level7"/>
    <w:qFormat/>
    <w:rPr/>
  </w:style>
  <w:style w:type="character" w:styleId="List1Level8">
    <w:name w:val="List1Level8"/>
    <w:qFormat/>
    <w:rPr/>
  </w:style>
  <w:style w:type="character" w:styleId="List2Level0">
    <w:name w:val="List2Level0"/>
    <w:qFormat/>
    <w:rPr/>
  </w:style>
  <w:style w:type="character" w:styleId="List2Level1">
    <w:name w:val="List2Level1"/>
    <w:qFormat/>
    <w:rPr/>
  </w:style>
  <w:style w:type="character" w:styleId="List2Level2">
    <w:name w:val="List2Level2"/>
    <w:qFormat/>
    <w:rPr/>
  </w:style>
  <w:style w:type="character" w:styleId="List2Level3">
    <w:name w:val="List2Level3"/>
    <w:qFormat/>
    <w:rPr/>
  </w:style>
  <w:style w:type="character" w:styleId="List2Level4">
    <w:name w:val="List2Level4"/>
    <w:qFormat/>
    <w:rPr/>
  </w:style>
  <w:style w:type="character" w:styleId="List2Level5">
    <w:name w:val="List2Level5"/>
    <w:qFormat/>
    <w:rPr/>
  </w:style>
  <w:style w:type="character" w:styleId="List2Level6">
    <w:name w:val="List2Level6"/>
    <w:qFormat/>
    <w:rPr/>
  </w:style>
  <w:style w:type="character" w:styleId="List2Level7">
    <w:name w:val="List2Level7"/>
    <w:qFormat/>
    <w:rPr/>
  </w:style>
  <w:style w:type="character" w:styleId="List2Level8">
    <w:name w:val="List2Level8"/>
    <w:qFormat/>
    <w:rPr/>
  </w:style>
  <w:style w:type="character" w:styleId="List3Level1">
    <w:name w:val="List3Level1"/>
    <w:qFormat/>
    <w:rPr/>
  </w:style>
  <w:style w:type="character" w:styleId="List3Level2">
    <w:name w:val="List3Level2"/>
    <w:qFormat/>
    <w:rPr/>
  </w:style>
  <w:style w:type="character" w:styleId="List3Level3">
    <w:name w:val="List3Level3"/>
    <w:qFormat/>
    <w:rPr/>
  </w:style>
  <w:style w:type="character" w:styleId="List3Level4">
    <w:name w:val="List3Level4"/>
    <w:qFormat/>
    <w:rPr/>
  </w:style>
  <w:style w:type="character" w:styleId="List3Level5">
    <w:name w:val="List3Level5"/>
    <w:qFormat/>
    <w:rPr/>
  </w:style>
  <w:style w:type="character" w:styleId="List3Level6">
    <w:name w:val="List3Level6"/>
    <w:qFormat/>
    <w:rPr/>
  </w:style>
  <w:style w:type="character" w:styleId="List3Level7">
    <w:name w:val="List3Level7"/>
    <w:qFormat/>
    <w:rPr/>
  </w:style>
  <w:style w:type="character" w:styleId="List3Level8">
    <w:name w:val="List3Level8"/>
    <w:qFormat/>
    <w:rPr/>
  </w:style>
  <w:style w:type="character" w:styleId="List4Level1">
    <w:name w:val="List4Level1"/>
    <w:qFormat/>
    <w:rPr/>
  </w:style>
  <w:style w:type="character" w:styleId="List4Level2">
    <w:name w:val="List4Level2"/>
    <w:qFormat/>
    <w:rPr/>
  </w:style>
  <w:style w:type="character" w:styleId="List4Level3">
    <w:name w:val="List4Level3"/>
    <w:qFormat/>
    <w:rPr/>
  </w:style>
  <w:style w:type="character" w:styleId="List4Level4">
    <w:name w:val="List4Level4"/>
    <w:qFormat/>
    <w:rPr/>
  </w:style>
  <w:style w:type="character" w:styleId="List4Level5">
    <w:name w:val="List4Level5"/>
    <w:qFormat/>
    <w:rPr/>
  </w:style>
  <w:style w:type="character" w:styleId="List4Level6">
    <w:name w:val="List4Level6"/>
    <w:qFormat/>
    <w:rPr/>
  </w:style>
  <w:style w:type="character" w:styleId="List4Level7">
    <w:name w:val="List4Level7"/>
    <w:qFormat/>
    <w:rPr/>
  </w:style>
  <w:style w:type="character" w:styleId="List4Level8">
    <w:name w:val="List4Level8"/>
    <w:qFormat/>
    <w:rPr/>
  </w:style>
  <w:style w:type="character" w:styleId="List5Level1">
    <w:name w:val="List5Level1"/>
    <w:qFormat/>
    <w:rPr/>
  </w:style>
  <w:style w:type="character" w:styleId="List5Level2">
    <w:name w:val="List5Level2"/>
    <w:qFormat/>
    <w:rPr/>
  </w:style>
  <w:style w:type="character" w:styleId="List5Level3">
    <w:name w:val="List5Level3"/>
    <w:qFormat/>
    <w:rPr/>
  </w:style>
  <w:style w:type="character" w:styleId="List5Level4">
    <w:name w:val="List5Level4"/>
    <w:qFormat/>
    <w:rPr/>
  </w:style>
  <w:style w:type="character" w:styleId="List5Level5">
    <w:name w:val="List5Level5"/>
    <w:qFormat/>
    <w:rPr/>
  </w:style>
  <w:style w:type="character" w:styleId="List5Level6">
    <w:name w:val="List5Level6"/>
    <w:qFormat/>
    <w:rPr/>
  </w:style>
  <w:style w:type="character" w:styleId="List5Level7">
    <w:name w:val="List5Level7"/>
    <w:qFormat/>
    <w:rPr/>
  </w:style>
  <w:style w:type="character" w:styleId="List5Level8">
    <w:name w:val="List5Level8"/>
    <w:qFormat/>
    <w:rPr/>
  </w:style>
  <w:style w:type="character" w:styleId="List6Level0">
    <w:name w:val="List6Level0"/>
    <w:qFormat/>
    <w:rPr/>
  </w:style>
  <w:style w:type="character" w:styleId="List6Level1">
    <w:name w:val="List6Level1"/>
    <w:qFormat/>
    <w:rPr/>
  </w:style>
  <w:style w:type="character" w:styleId="List6Level2">
    <w:name w:val="List6Level2"/>
    <w:qFormat/>
    <w:rPr/>
  </w:style>
  <w:style w:type="character" w:styleId="List6Level3">
    <w:name w:val="List6Level3"/>
    <w:qFormat/>
    <w:rPr/>
  </w:style>
  <w:style w:type="character" w:styleId="List6Level4">
    <w:name w:val="List6Level4"/>
    <w:qFormat/>
    <w:rPr/>
  </w:style>
  <w:style w:type="character" w:styleId="List6Level5">
    <w:name w:val="List6Level5"/>
    <w:qFormat/>
    <w:rPr/>
  </w:style>
  <w:style w:type="character" w:styleId="List6Level6">
    <w:name w:val="List6Level6"/>
    <w:qFormat/>
    <w:rPr/>
  </w:style>
  <w:style w:type="character" w:styleId="List6Level7">
    <w:name w:val="List6Level7"/>
    <w:qFormat/>
    <w:rPr/>
  </w:style>
  <w:style w:type="character" w:styleId="List6Level8">
    <w:name w:val="List6Level8"/>
    <w:qFormat/>
    <w:rPr/>
  </w:style>
  <w:style w:type="character" w:styleId="List7Level0">
    <w:name w:val="List7Level0"/>
    <w:qFormat/>
    <w:rPr/>
  </w:style>
  <w:style w:type="character" w:styleId="List7Level1">
    <w:name w:val="List7Level1"/>
    <w:qFormat/>
    <w:rPr/>
  </w:style>
  <w:style w:type="character" w:styleId="List7Level2">
    <w:name w:val="List7Level2"/>
    <w:qFormat/>
    <w:rPr/>
  </w:style>
  <w:style w:type="character" w:styleId="List7Level3">
    <w:name w:val="List7Level3"/>
    <w:qFormat/>
    <w:rPr/>
  </w:style>
  <w:style w:type="character" w:styleId="List7Level4">
    <w:name w:val="List7Level4"/>
    <w:qFormat/>
    <w:rPr/>
  </w:style>
  <w:style w:type="character" w:styleId="List7Level5">
    <w:name w:val="List7Level5"/>
    <w:qFormat/>
    <w:rPr/>
  </w:style>
  <w:style w:type="character" w:styleId="List7Level6">
    <w:name w:val="List7Level6"/>
    <w:qFormat/>
    <w:rPr/>
  </w:style>
  <w:style w:type="character" w:styleId="List7Level7">
    <w:name w:val="List7Level7"/>
    <w:qFormat/>
    <w:rPr/>
  </w:style>
  <w:style w:type="character" w:styleId="List7Level8">
    <w:name w:val="List7Level8"/>
    <w:qFormat/>
    <w:rPr/>
  </w:style>
  <w:style w:type="character" w:styleId="List8Level0">
    <w:name w:val="List8Level0"/>
    <w:qFormat/>
    <w:rPr/>
  </w:style>
  <w:style w:type="character" w:styleId="List8Level1">
    <w:name w:val="List8Level1"/>
    <w:qFormat/>
    <w:rPr/>
  </w:style>
  <w:style w:type="character" w:styleId="List8Level2">
    <w:name w:val="List8Level2"/>
    <w:qFormat/>
    <w:rPr/>
  </w:style>
  <w:style w:type="character" w:styleId="List8Level3">
    <w:name w:val="List8Level3"/>
    <w:qFormat/>
    <w:rPr/>
  </w:style>
  <w:style w:type="character" w:styleId="List8Level4">
    <w:name w:val="List8Level4"/>
    <w:qFormat/>
    <w:rPr/>
  </w:style>
  <w:style w:type="character" w:styleId="List8Level5">
    <w:name w:val="List8Level5"/>
    <w:qFormat/>
    <w:rPr/>
  </w:style>
  <w:style w:type="character" w:styleId="List8Level6">
    <w:name w:val="List8Level6"/>
    <w:qFormat/>
    <w:rPr/>
  </w:style>
  <w:style w:type="character" w:styleId="List8Level7">
    <w:name w:val="List8Level7"/>
    <w:qFormat/>
    <w:rPr/>
  </w:style>
  <w:style w:type="character" w:styleId="List8Level8">
    <w:name w:val="List8Level8"/>
    <w:qFormat/>
    <w:rPr/>
  </w:style>
  <w:style w:type="character" w:styleId="List9Level0">
    <w:name w:val="List9Level0"/>
    <w:qFormat/>
    <w:rPr/>
  </w:style>
  <w:style w:type="character" w:styleId="List9Level1">
    <w:name w:val="List9Level1"/>
    <w:qFormat/>
    <w:rPr/>
  </w:style>
  <w:style w:type="character" w:styleId="List9Level2">
    <w:name w:val="List9Level2"/>
    <w:qFormat/>
    <w:rPr/>
  </w:style>
  <w:style w:type="character" w:styleId="List9Level3">
    <w:name w:val="List9Level3"/>
    <w:qFormat/>
    <w:rPr/>
  </w:style>
  <w:style w:type="character" w:styleId="List9Level4">
    <w:name w:val="List9Level4"/>
    <w:qFormat/>
    <w:rPr/>
  </w:style>
  <w:style w:type="character" w:styleId="List9Level5">
    <w:name w:val="List9Level5"/>
    <w:qFormat/>
    <w:rPr/>
  </w:style>
  <w:style w:type="character" w:styleId="List9Level6">
    <w:name w:val="List9Level6"/>
    <w:qFormat/>
    <w:rPr/>
  </w:style>
  <w:style w:type="character" w:styleId="List9Level7">
    <w:name w:val="List9Level7"/>
    <w:qFormat/>
    <w:rPr/>
  </w:style>
  <w:style w:type="character" w:styleId="List9Level8">
    <w:name w:val="List9Level8"/>
    <w:qFormat/>
    <w:rPr/>
  </w:style>
  <w:style w:type="character" w:styleId="List10Level0">
    <w:name w:val="List10Level0"/>
    <w:qFormat/>
    <w:rPr/>
  </w:style>
  <w:style w:type="character" w:styleId="List10Level1">
    <w:name w:val="List10Level1"/>
    <w:qFormat/>
    <w:rPr/>
  </w:style>
  <w:style w:type="character" w:styleId="List10Level2">
    <w:name w:val="List10Level2"/>
    <w:qFormat/>
    <w:rPr/>
  </w:style>
  <w:style w:type="character" w:styleId="List10Level3">
    <w:name w:val="List10Level3"/>
    <w:qFormat/>
    <w:rPr/>
  </w:style>
  <w:style w:type="character" w:styleId="List10Level4">
    <w:name w:val="List10Level4"/>
    <w:qFormat/>
    <w:rPr/>
  </w:style>
  <w:style w:type="character" w:styleId="List10Level5">
    <w:name w:val="List10Level5"/>
    <w:qFormat/>
    <w:rPr/>
  </w:style>
  <w:style w:type="character" w:styleId="List10Level6">
    <w:name w:val="List10Level6"/>
    <w:qFormat/>
    <w:rPr/>
  </w:style>
  <w:style w:type="character" w:styleId="List10Level7">
    <w:name w:val="List10Level7"/>
    <w:qFormat/>
    <w:rPr/>
  </w:style>
  <w:style w:type="character" w:styleId="List10Level8">
    <w:name w:val="List10Level8"/>
    <w:qFormat/>
    <w:rPr/>
  </w:style>
  <w:style w:type="character" w:styleId="List11Level1">
    <w:name w:val="List11Level1"/>
    <w:qFormat/>
    <w:rPr/>
  </w:style>
  <w:style w:type="character" w:styleId="List11Level2">
    <w:name w:val="List11Level2"/>
    <w:qFormat/>
    <w:rPr/>
  </w:style>
  <w:style w:type="character" w:styleId="List11Level3">
    <w:name w:val="List11Level3"/>
    <w:qFormat/>
    <w:rPr/>
  </w:style>
  <w:style w:type="character" w:styleId="List11Level4">
    <w:name w:val="List11Level4"/>
    <w:qFormat/>
    <w:rPr/>
  </w:style>
  <w:style w:type="character" w:styleId="List11Level5">
    <w:name w:val="List11Level5"/>
    <w:qFormat/>
    <w:rPr/>
  </w:style>
  <w:style w:type="character" w:styleId="List11Level6">
    <w:name w:val="List11Level6"/>
    <w:qFormat/>
    <w:rPr/>
  </w:style>
  <w:style w:type="character" w:styleId="List11Level7">
    <w:name w:val="List11Level7"/>
    <w:qFormat/>
    <w:rPr/>
  </w:style>
  <w:style w:type="character" w:styleId="List11Level8">
    <w:name w:val="List11Level8"/>
    <w:qFormat/>
    <w:rPr/>
  </w:style>
  <w:style w:type="character" w:styleId="List12Level1">
    <w:name w:val="List12Level1"/>
    <w:qFormat/>
    <w:rPr/>
  </w:style>
  <w:style w:type="character" w:styleId="List12Level2">
    <w:name w:val="List12Level2"/>
    <w:qFormat/>
    <w:rPr/>
  </w:style>
  <w:style w:type="character" w:styleId="List12Level3">
    <w:name w:val="List12Level3"/>
    <w:qFormat/>
    <w:rPr/>
  </w:style>
  <w:style w:type="character" w:styleId="List12Level4">
    <w:name w:val="List12Level4"/>
    <w:qFormat/>
    <w:rPr/>
  </w:style>
  <w:style w:type="character" w:styleId="List12Level5">
    <w:name w:val="List12Level5"/>
    <w:qFormat/>
    <w:rPr/>
  </w:style>
  <w:style w:type="character" w:styleId="List12Level6">
    <w:name w:val="List12Level6"/>
    <w:qFormat/>
    <w:rPr/>
  </w:style>
  <w:style w:type="character" w:styleId="List12Level7">
    <w:name w:val="List12Level7"/>
    <w:qFormat/>
    <w:rPr/>
  </w:style>
  <w:style w:type="character" w:styleId="List12Level8">
    <w:name w:val="List12Level8"/>
    <w:qFormat/>
    <w:rPr/>
  </w:style>
  <w:style w:type="character" w:styleId="Style15">
    <w:name w:val="註腳字元"/>
    <w:qFormat/>
    <w:rPr/>
  </w:style>
  <w:style w:type="character" w:styleId="Style16">
    <w:name w:val="註腳錨定"/>
    <w:rPr>
      <w:vertAlign w:val="superscript"/>
    </w:rPr>
  </w:style>
  <w:style w:type="paragraph" w:styleId="NoList">
    <w:name w:val="No List"/>
    <w:qFormat/>
    <w:pPr>
      <w:widowControl w:val="false"/>
      <w:kinsoku w:val="true"/>
      <w:overflowPunct w:val="true"/>
      <w:autoSpaceDE w:val="true"/>
      <w:bidi w:val="0"/>
    </w:pPr>
    <w:rPr>
      <w:rFonts w:ascii="Times New Roman" w:hAnsi="Times New Roman" w:eastAsia="新細明體" w:cs="Times New Roman"/>
      <w:color w:val="auto"/>
      <w:sz w:val="20"/>
      <w:szCs w:val="20"/>
      <w:lang w:val="zh-TW" w:eastAsia="zh-TW" w:bidi="zh-TW"/>
    </w:rPr>
  </w:style>
  <w:style w:type="paragraph" w:styleId="HTMLPreformatted">
    <w:name w:val="HTML Preformatted"/>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szCs w:val="24"/>
    </w:rPr>
  </w:style>
  <w:style w:type="paragraph" w:styleId="Style17">
    <w:name w:val="說明條列"/>
    <w:basedOn w:val="Normal"/>
    <w:qFormat/>
    <w:pPr>
      <w:widowControl/>
    </w:pPr>
    <w:rPr>
      <w:sz w:val="32"/>
      <w:szCs w:val="32"/>
    </w:rPr>
  </w:style>
  <w:style w:type="paragraph" w:styleId="Style18">
    <w:name w:val="Footer"/>
    <w:basedOn w:val="Normal"/>
    <w:pPr>
      <w:tabs>
        <w:tab w:val="clear" w:pos="480"/>
        <w:tab w:val="center" w:pos="4153" w:leader="none"/>
        <w:tab w:val="right" w:pos="8306" w:leader="none"/>
      </w:tabs>
    </w:pPr>
    <w:rPr>
      <w:rFonts w:eastAsia="新細明體"/>
      <w:sz w:val="20"/>
    </w:rPr>
  </w:style>
  <w:style w:type="paragraph" w:styleId="BodyTextIndent">
    <w:name w:val="Body Text Indent"/>
    <w:basedOn w:val="Normal"/>
    <w:qFormat/>
    <w:pPr>
      <w:ind w:left="540" w:right="0" w:hanging="540"/>
    </w:pPr>
    <w:rPr>
      <w:rFonts w:eastAsia="新細明體"/>
      <w:szCs w:val="24"/>
    </w:rPr>
  </w:style>
  <w:style w:type="paragraph" w:styleId="Date">
    <w:name w:val="Date"/>
    <w:basedOn w:val="Normal"/>
    <w:qFormat/>
    <w:pPr>
      <w:jc w:val="right"/>
    </w:pPr>
    <w:rPr/>
  </w:style>
  <w:style w:type="numbering" w:styleId="LS1">
    <w:name w:val="LS1"/>
    <w:qFormat/>
  </w:style>
  <w:style w:type="numbering" w:styleId="LS2">
    <w:name w:val="LS2"/>
    <w:qFormat/>
  </w:style>
  <w:style w:type="numbering" w:styleId="LS3">
    <w:name w:val="LS3"/>
    <w:qFormat/>
  </w:style>
  <w:style w:type="numbering" w:styleId="LS4">
    <w:name w:val="LS4"/>
    <w:qFormat/>
  </w:style>
  <w:style w:type="numbering" w:styleId="LS5">
    <w:name w:val="LS5"/>
    <w:qFormat/>
  </w:style>
  <w:style w:type="numbering" w:styleId="LS6">
    <w:name w:val="LS6"/>
    <w:qFormat/>
  </w:style>
  <w:style w:type="numbering" w:styleId="LS7">
    <w:name w:val="LS7"/>
    <w:qFormat/>
  </w:style>
  <w:style w:type="numbering" w:styleId="LS8">
    <w:name w:val="LS8"/>
    <w:qFormat/>
  </w:style>
  <w:style w:type="numbering" w:styleId="LS9">
    <w:name w:val="LS9"/>
    <w:qFormat/>
  </w:style>
  <w:style w:type="numbering" w:styleId="LS10">
    <w:name w:val="LS10"/>
    <w:qFormat/>
  </w:style>
  <w:style w:type="numbering" w:styleId="LS11">
    <w:name w:val="LS11"/>
    <w:qFormat/>
  </w:style>
  <w:style w:type="numbering" w:styleId="LS12">
    <w:name w:val="LS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NDC_ODF_Application_Tools/2.0.3$Windows_x86 LibreOffice_project/54cf7324c4a2efdf36c5efbb1fcbec2120c1d70e</Application>
  <Pages>12</Pages>
  <Words>6228</Words>
  <CharactersWithSpaces>6497</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2013-09-23T03:31:00Z</dcterms:created>
  <dc:creator>moi</dc:creator>
  <dc:description/>
  <dc:language>zh-TW</dc:language>
  <cp:lastModifiedBy>.</cp:lastModifiedBy>
  <cp:lastPrinted>2012-10-02T08:27:00Z</cp:lastPrinted>
  <dcterms:modified xsi:type="dcterms:W3CDTF">2013-09-23T03:31:00Z</dcterms:modified>
  <cp:revision>2</cp:revision>
  <dc:subject/>
  <dc:title>生前殯葬服務預收費用信託定型化契約應記載及不得記載事項</dc:title>
</cp:coreProperties>
</file>