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color w:val="000000"/>
          <w:sz w:val="32"/>
          <w:szCs w:val="32"/>
        </w:rPr>
      </w:pPr>
      <w:r>
        <w:rPr>
          <w:rFonts w:ascii="標楷體" w:hAnsi="標楷體" w:eastAsia="標楷體"/>
          <w:color w:val="000000"/>
          <w:sz w:val="32"/>
          <w:szCs w:val="32"/>
        </w:rPr>
        <w:t>骨灰（骸）存放單位使用權買賣定型化契約範本</w:t>
      </w:r>
    </w:p>
    <w:p>
      <w:pPr>
        <w:pStyle w:val="Normal"/>
        <w:spacing w:lineRule="exact" w:line="400"/>
        <w:ind w:left="2699" w:right="0" w:hanging="2699"/>
        <w:jc w:val="distribute"/>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本契約於中華民國○○年○○月○○日經甲方攜回審閱○日（契約審閱期間至少五日）</w:t>
      </w:r>
    </w:p>
    <w:p>
      <w:pPr>
        <w:pStyle w:val="Normal"/>
        <w:spacing w:lineRule="exact" w:line="400"/>
        <w:ind w:left="0" w:right="0" w:firstLine="151"/>
        <w:jc w:val="distribute"/>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甲方：　　　　                         （簽章）</w:t>
      </w:r>
    </w:p>
    <w:p>
      <w:pPr>
        <w:pStyle w:val="Normal"/>
        <w:spacing w:lineRule="exact" w:line="400"/>
        <w:ind w:left="2700" w:right="0" w:hanging="0"/>
        <w:jc w:val="distribute"/>
        <w:rPr>
          <w:rFonts w:ascii="標楷體" w:hAnsi="標楷體" w:eastAsia="標楷體"/>
          <w:color w:val="000000"/>
          <w:sz w:val="28"/>
          <w:szCs w:val="28"/>
        </w:rPr>
      </w:pPr>
      <w:r>
        <w:rPr>
          <w:rFonts w:ascii="標楷體" w:hAnsi="標楷體" w:eastAsia="標楷體"/>
          <w:color w:val="000000"/>
          <w:sz w:val="28"/>
          <w:szCs w:val="28"/>
        </w:rPr>
        <w:t>乙方：　　　　                         （簽章）</w:t>
      </w:r>
    </w:p>
    <w:p>
      <w:pPr>
        <w:pStyle w:val="Normal"/>
        <w:spacing w:lineRule="exact" w:line="400"/>
        <w:ind w:left="2700" w:right="0" w:hanging="0"/>
        <w:jc w:val="distribute"/>
        <w:rPr>
          <w:rFonts w:ascii="標楷體" w:hAnsi="標楷體" w:eastAsia="標楷體"/>
          <w:color w:val="000000"/>
          <w:sz w:val="28"/>
          <w:szCs w:val="28"/>
        </w:rPr>
      </w:pPr>
      <w:r>
        <w:rPr>
          <w:rFonts w:ascii="標楷體" w:hAnsi="標楷體" w:eastAsia="標楷體"/>
          <w:color w:val="000000"/>
          <w:sz w:val="28"/>
          <w:szCs w:val="28"/>
        </w:rPr>
        <w:t xml:space="preserve">甲方指定使用人：        </w:t>
      </w:r>
    </w:p>
    <w:p>
      <w:pPr>
        <w:pStyle w:val="Normal"/>
        <w:spacing w:lineRule="exact" w:line="400"/>
        <w:ind w:left="2700" w:right="0" w:hanging="0"/>
        <w:jc w:val="distribute"/>
        <w:rPr/>
      </w:pPr>
      <w:r>
        <w:rPr/>
      </w:r>
      <w:r>
        <mc:AlternateContent>
          <mc:Choice Requires="wps">
            <w:drawing>
              <wp:anchor behindDoc="0" distT="0" distB="0" distL="0" distR="0" simplePos="0" locked="0" layoutInCell="1" allowOverlap="1" relativeHeight="2">
                <wp:simplePos x="0" y="0"/>
                <wp:positionH relativeFrom="column">
                  <wp:posOffset>1143000</wp:posOffset>
                </wp:positionH>
                <wp:positionV relativeFrom="paragraph">
                  <wp:posOffset>101600</wp:posOffset>
                </wp:positionV>
                <wp:extent cx="3314700" cy="881380"/>
                <wp:effectExtent l="0" t="0" r="0" b="0"/>
                <wp:wrapNone/>
                <wp:docPr id="1" name="外框1"/>
                <a:graphic xmlns:a="http://schemas.openxmlformats.org/drawingml/2006/main">
                  <a:graphicData uri="http://schemas.microsoft.com/office/word/2010/wordprocessingShape">
                    <wps:wsp>
                      <wps:cNvSpPr txBox="1"/>
                      <wps:spPr>
                        <a:xfrm>
                          <a:off x="0" y="0"/>
                          <a:ext cx="3314700" cy="881380"/>
                        </a:xfrm>
                        <a:prstGeom prst="rect"/>
                      </wps:spPr>
                      <wps:txbx>
                        <w:txbxContent>
                          <w:p>
                            <w:pPr>
                              <w:pStyle w:val="Normal"/>
                              <w:ind w:left="-180" w:right="-98" w:hanging="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甲方（消費者）：</w:t>
                            </w:r>
                          </w:p>
                          <w:p>
                            <w:pPr>
                              <w:pStyle w:val="Normal"/>
                              <w:ind w:left="719" w:right="-98" w:hanging="899"/>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乙方（骨灰骸存放設施經營業者名稱）：</w:t>
                            </w:r>
                          </w:p>
                          <w:p>
                            <w:pPr>
                              <w:pStyle w:val="Normal"/>
                              <w:rPr/>
                            </w:pPr>
                            <w:r>
                              <w:rPr/>
                            </w:r>
                          </w:p>
                        </w:txbxContent>
                      </wps:txbx>
                      <wps:bodyPr anchor="t" lIns="53975" tIns="53975" rIns="53975" bIns="53975">
                        <a:noAutofit/>
                      </wps:bodyPr>
                    </wps:wsp>
                  </a:graphicData>
                </a:graphic>
              </wp:anchor>
            </w:drawing>
          </mc:Choice>
          <mc:Fallback>
            <w:pict>
              <v:rect style="position:absolute;rotation:0;width:261pt;height:69.4pt;mso-wrap-distance-left:5.7pt;mso-wrap-distance-right:5.7pt;mso-wrap-distance-top:5.7pt;mso-wrap-distance-bottom:5.7pt;margin-top:8pt;mso-position-vertical-relative:text;margin-left:90pt;mso-position-horizontal-relative:text">
                <v:textbox inset="0.0590277777777778in,0.0590277777777778in,0.0590277777777778in,0.0590277777777778in">
                  <w:txbxContent>
                    <w:p>
                      <w:pPr>
                        <w:pStyle w:val="Normal"/>
                        <w:ind w:left="-180" w:right="-98" w:hanging="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甲方（消費者）：</w:t>
                      </w:r>
                    </w:p>
                    <w:p>
                      <w:pPr>
                        <w:pStyle w:val="Normal"/>
                        <w:ind w:left="719" w:right="-98" w:hanging="899"/>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乙方（骨灰骸存放設施經營業者名稱）：</w:t>
                      </w:r>
                    </w:p>
                    <w:p>
                      <w:pPr>
                        <w:pStyle w:val="Normal"/>
                        <w:rPr/>
                      </w:pPr>
                      <w:r>
                        <w:rPr/>
                      </w:r>
                    </w:p>
                  </w:txbxContent>
                </v:textbox>
              </v:rect>
            </w:pict>
          </mc:Fallback>
        </mc:AlternateContent>
      </w:r>
    </w:p>
    <w:p>
      <w:pPr>
        <w:pStyle w:val="Normal"/>
        <w:tabs>
          <w:tab w:val="clear" w:pos="480"/>
          <w:tab w:val="left" w:pos="1992" w:leader="none"/>
        </w:tabs>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 xml:space="preserve">立契約書人 </w:t>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ascii="標楷體" w:hAnsi="標楷體" w:eastAsia="標楷體"/>
          <w:color w:val="000000"/>
        </w:rPr>
        <w:t>注意事項：</w:t>
      </w:r>
    </w:p>
    <w:p>
      <w:pPr>
        <w:pStyle w:val="Normal"/>
        <w:numPr>
          <w:ilvl w:val="0"/>
          <w:numId w:val="1"/>
        </w:numPr>
        <w:tabs>
          <w:tab w:val="clear" w:pos="480"/>
          <w:tab w:val="left" w:pos="720" w:leader="none"/>
          <w:tab w:val="left" w:pos="1992" w:leader="none"/>
        </w:tabs>
        <w:spacing w:lineRule="exact" w:line="400"/>
        <w:ind w:left="720" w:hanging="720"/>
        <w:jc w:val="distribute"/>
        <w:rPr>
          <w:rFonts w:ascii="標楷體" w:hAnsi="標楷體" w:eastAsia="標楷體"/>
          <w:color w:val="000000"/>
          <w:sz w:val="28"/>
          <w:szCs w:val="28"/>
        </w:rPr>
      </w:pPr>
      <w:r>
        <w:rPr>
          <w:rFonts w:ascii="標楷體" w:hAnsi="標楷體" w:eastAsia="標楷體"/>
          <w:color w:val="000000"/>
          <w:sz w:val="28"/>
          <w:szCs w:val="28"/>
        </w:rPr>
        <w:t>雙方就骨灰（骸）存放單位使用權買賣，特訂立本契約。</w:t>
      </w:r>
    </w:p>
    <w:p>
      <w:pPr>
        <w:pStyle w:val="Normal"/>
        <w:numPr>
          <w:ilvl w:val="0"/>
          <w:numId w:val="1"/>
        </w:numPr>
        <w:tabs>
          <w:tab w:val="clear" w:pos="480"/>
          <w:tab w:val="left" w:pos="720" w:leader="none"/>
          <w:tab w:val="left" w:pos="1992" w:leader="none"/>
        </w:tabs>
        <w:spacing w:lineRule="exact" w:line="400"/>
        <w:ind w:left="720" w:hanging="720"/>
        <w:jc w:val="distribute"/>
        <w:rPr>
          <w:rFonts w:ascii="標楷體" w:hAnsi="標楷體" w:eastAsia="標楷體"/>
          <w:color w:val="000000"/>
          <w:sz w:val="28"/>
          <w:szCs w:val="28"/>
        </w:rPr>
      </w:pPr>
      <w:r>
        <w:rPr>
          <w:rFonts w:ascii="標楷體" w:hAnsi="標楷體" w:eastAsia="標楷體"/>
          <w:color w:val="000000"/>
          <w:sz w:val="28"/>
          <w:szCs w:val="28"/>
        </w:rPr>
        <w:t>本契約所定之骨灰（骸）存放單位使用權，不以甲方應取得該設施之所有權為要件。如乙方移轉該設施土地或建物之所有權予甲方，其應負擔權利義務如下：</w:t>
      </w:r>
    </w:p>
    <w:p>
      <w:pPr>
        <w:pStyle w:val="Normal"/>
        <w:numPr>
          <w:ilvl w:val="0"/>
          <w:numId w:val="2"/>
        </w:numPr>
        <w:tabs>
          <w:tab w:val="clear" w:pos="480"/>
          <w:tab w:val="left" w:pos="780" w:leader="none"/>
          <w:tab w:val="left" w:pos="830" w:leader="none"/>
        </w:tabs>
        <w:spacing w:lineRule="exact" w:line="400"/>
        <w:ind w:left="780" w:hanging="780"/>
        <w:jc w:val="distribute"/>
        <w:rPr>
          <w:rFonts w:ascii="標楷體" w:hAnsi="標楷體" w:eastAsia="標楷體"/>
          <w:color w:val="000000"/>
          <w:sz w:val="28"/>
          <w:szCs w:val="28"/>
        </w:rPr>
      </w:pPr>
      <w:r>
        <w:rPr>
          <w:rFonts w:ascii="標楷體" w:hAnsi="標楷體" w:eastAsia="標楷體"/>
          <w:color w:val="000000"/>
          <w:sz w:val="28"/>
          <w:szCs w:val="28"/>
        </w:rPr>
        <w:t>地價稅：依土地稅法規定，其納稅義務人為土地所有權人（甲方）。</w:t>
      </w:r>
    </w:p>
    <w:p>
      <w:pPr>
        <w:pStyle w:val="Normal"/>
        <w:numPr>
          <w:ilvl w:val="0"/>
          <w:numId w:val="2"/>
        </w:numPr>
        <w:tabs>
          <w:tab w:val="clear" w:pos="480"/>
          <w:tab w:val="left" w:pos="780" w:leader="none"/>
          <w:tab w:val="left" w:pos="830" w:leader="none"/>
        </w:tabs>
        <w:spacing w:lineRule="exact" w:line="400"/>
        <w:ind w:left="780" w:hanging="780"/>
        <w:jc w:val="distribute"/>
        <w:rPr>
          <w:rFonts w:ascii="標楷體" w:hAnsi="標楷體" w:eastAsia="標楷體"/>
          <w:color w:val="000000"/>
          <w:sz w:val="28"/>
          <w:szCs w:val="28"/>
        </w:rPr>
      </w:pPr>
      <w:r>
        <w:rPr>
          <w:rFonts w:ascii="標楷體" w:hAnsi="標楷體" w:eastAsia="標楷體"/>
          <w:color w:val="000000"/>
          <w:sz w:val="28"/>
          <w:szCs w:val="28"/>
        </w:rPr>
        <w:t>房屋稅：依房屋稅條例規定，向房屋所有人（甲方）徵收之。</w:t>
      </w:r>
    </w:p>
    <w:p>
      <w:pPr>
        <w:pStyle w:val="Normal"/>
        <w:numPr>
          <w:ilvl w:val="0"/>
          <w:numId w:val="2"/>
        </w:numPr>
        <w:tabs>
          <w:tab w:val="clear" w:pos="480"/>
          <w:tab w:val="left" w:pos="780" w:leader="none"/>
        </w:tabs>
        <w:spacing w:lineRule="exact" w:line="400"/>
        <w:ind w:left="780" w:hanging="780"/>
        <w:jc w:val="distribute"/>
        <w:rPr>
          <w:rFonts w:ascii="標楷體" w:hAnsi="標楷體" w:eastAsia="標楷體"/>
          <w:color w:val="000000"/>
          <w:sz w:val="28"/>
          <w:szCs w:val="28"/>
        </w:rPr>
      </w:pPr>
      <w:r>
        <w:rPr>
          <w:rFonts w:ascii="標楷體" w:hAnsi="標楷體" w:eastAsia="標楷體"/>
          <w:color w:val="000000"/>
          <w:sz w:val="28"/>
          <w:szCs w:val="28"/>
        </w:rPr>
        <w:t>土地增值稅：依土地稅法規定，其納稅義務人之土地如為有償移轉者，為原所有權人（乙方）；如為無償移轉者，為取得所有權人（甲方）。</w:t>
      </w:r>
    </w:p>
    <w:p>
      <w:pPr>
        <w:pStyle w:val="Normal"/>
        <w:tabs>
          <w:tab w:val="clear" w:pos="480"/>
          <w:tab w:val="left" w:pos="830" w:leader="none"/>
        </w:tabs>
        <w:spacing w:lineRule="exact" w:line="400"/>
        <w:ind w:left="854" w:right="0" w:hanging="854"/>
        <w:jc w:val="distribute"/>
        <w:rPr>
          <w:rFonts w:ascii="標楷體" w:hAnsi="標楷體" w:eastAsia="標楷體"/>
          <w:color w:val="000000"/>
          <w:sz w:val="28"/>
          <w:szCs w:val="28"/>
        </w:rPr>
      </w:pPr>
      <w:r>
        <w:rPr>
          <w:rFonts w:ascii="標楷體" w:hAnsi="標楷體" w:eastAsia="標楷體"/>
          <w:color w:val="000000"/>
          <w:sz w:val="28"/>
          <w:szCs w:val="28"/>
        </w:rPr>
        <w:t>（四）契稅：依契稅條例規定，應由買受人（甲方）按契約所載價額申報納稅。</w:t>
      </w:r>
    </w:p>
    <w:p>
      <w:pPr>
        <w:pStyle w:val="Normal"/>
        <w:tabs>
          <w:tab w:val="clear" w:pos="480"/>
          <w:tab w:val="left" w:pos="830" w:leader="none"/>
        </w:tabs>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（五）登記規費由乙方負擔。</w:t>
      </w:r>
    </w:p>
    <w:p>
      <w:pPr>
        <w:pStyle w:val="Normal"/>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（六）其他稅捐、費用或負擔應依法令、習慣或約定辦理之。</w:t>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500"/>
        <w:ind w:left="0" w:right="113" w:hanging="0"/>
        <w:jc w:val="distribute"/>
        <w:rPr/>
      </w:pPr>
      <w:r>
        <w:rPr>
          <w:rFonts w:ascii="標楷體" w:hAnsi="標楷體" w:eastAsia="標楷體"/>
          <w:sz w:val="28"/>
          <w:szCs w:val="28"/>
        </w:rPr>
        <w:t>第一條（</w:t>
      </w:r>
      <w:r>
        <w:rPr>
          <w:rFonts w:ascii="標楷體" w:hAnsi="標楷體" w:eastAsia="標楷體"/>
          <w:color w:val="000000"/>
          <w:sz w:val="28"/>
          <w:szCs w:val="28"/>
        </w:rPr>
        <w:t>契約標的</w:t>
      </w:r>
      <w:r>
        <w:rPr>
          <w:rFonts w:ascii="標楷體" w:hAnsi="標楷體" w:eastAsia="標楷體"/>
          <w:sz w:val="28"/>
          <w:szCs w:val="28"/>
        </w:rPr>
        <w:t>）</w:t>
      </w:r>
    </w:p>
    <w:p>
      <w:pPr>
        <w:pStyle w:val="Normal"/>
        <w:spacing w:lineRule="exact" w:line="400"/>
        <w:ind w:left="1368" w:right="0" w:hanging="46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指定至區排層號</w:t>
      </w:r>
    </w:p>
    <w:p>
      <w:pPr>
        <w:pStyle w:val="Normal"/>
        <w:spacing w:lineRule="exact" w:line="400"/>
        <w:ind w:left="1258" w:right="0" w:hanging="358"/>
        <w:jc w:val="distribute"/>
        <w:rPr/>
      </w:pPr>
      <w:r>
        <w:rPr>
          <w:rFonts w:ascii="標楷體" w:hAnsi="標楷體" w:eastAsia="標楷體"/>
          <w:sz w:val="28"/>
          <w:szCs w:val="28"/>
        </w:rPr>
        <w:t xml:space="preserve">   </w:t>
      </w:r>
      <w:r>
        <w:rPr>
          <w:rFonts w:ascii="標楷體" w:hAnsi="標楷體" w:eastAsia="標楷體"/>
          <w:sz w:val="28"/>
          <w:szCs w:val="28"/>
        </w:rPr>
        <w:t>本契約之骨灰（骸）存放單位使用權，由乙方出售予甲方，</w:t>
      </w:r>
      <w:r>
        <w:rPr>
          <w:rFonts w:ascii="標楷體" w:hAnsi="標楷體" w:eastAsia="標楷體"/>
          <w:color w:val="000000"/>
          <w:spacing w:val="16"/>
          <w:sz w:val="28"/>
          <w:szCs w:val="28"/>
        </w:rPr>
        <w:t>供甲方供奉、存放其所指定人士之骨灰（骸）使用</w:t>
      </w:r>
      <w:r>
        <w:rPr>
          <w:rFonts w:ascii="標楷體" w:hAnsi="標楷體" w:eastAsia="標楷體"/>
          <w:sz w:val="28"/>
          <w:szCs w:val="28"/>
        </w:rPr>
        <w:t>，其契約標的如下：</w:t>
      </w:r>
    </w:p>
    <w:p>
      <w:pPr>
        <w:pStyle w:val="Normal"/>
        <w:numPr>
          <w:ilvl w:val="2"/>
          <w:numId w:val="1"/>
        </w:numPr>
        <w:tabs>
          <w:tab w:val="clear" w:pos="480"/>
          <w:tab w:val="left" w:pos="1680" w:leader="none"/>
        </w:tabs>
        <w:spacing w:lineRule="exact" w:line="400"/>
        <w:ind w:left="1680" w:hanging="720"/>
        <w:jc w:val="distribute"/>
        <w:rPr/>
      </w:pPr>
      <w:r>
        <w:rPr>
          <w:rFonts w:ascii="標楷體" w:hAnsi="標楷體" w:eastAsia="標楷體"/>
          <w:color w:val="000000"/>
          <w:spacing w:val="16"/>
          <w:sz w:val="28"/>
          <w:szCs w:val="28"/>
        </w:rPr>
        <w:t>殯葬主管機關核准啟用文號：○○縣（市）政府○○年○○○字第○○○○○○○號。</w:t>
      </w:r>
      <w:r>
        <w:rPr>
          <w:rFonts w:ascii="標楷體" w:hAnsi="標楷體" w:eastAsia="標楷體"/>
          <w:sz w:val="28"/>
          <w:szCs w:val="28"/>
        </w:rPr>
        <w:t>啟用日期：</w:t>
      </w:r>
      <w:r>
        <w:rPr>
          <w:rFonts w:ascii="標楷體" w:hAnsi="標楷體" w:eastAsia="標楷體"/>
          <w:color w:val="000000"/>
          <w:spacing w:val="16"/>
          <w:sz w:val="28"/>
          <w:szCs w:val="28"/>
        </w:rPr>
        <w:t>民國○○年○○月○○日。</w:t>
      </w:r>
    </w:p>
    <w:p>
      <w:pPr>
        <w:pStyle w:val="Normal"/>
        <w:numPr>
          <w:ilvl w:val="2"/>
          <w:numId w:val="1"/>
        </w:numPr>
        <w:tabs>
          <w:tab w:val="clear" w:pos="480"/>
          <w:tab w:val="left" w:pos="1680" w:leader="none"/>
        </w:tabs>
        <w:spacing w:lineRule="exact" w:line="400"/>
        <w:ind w:left="168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座落：○○省（市）○○縣（市）○○鄉（鎮、市、區）○○○段○○○小段○○○地號等○○土地上。</w:t>
      </w:r>
    </w:p>
    <w:p>
      <w:pPr>
        <w:pStyle w:val="Normal"/>
        <w:numPr>
          <w:ilvl w:val="2"/>
          <w:numId w:val="1"/>
        </w:numPr>
        <w:tabs>
          <w:tab w:val="clear" w:pos="480"/>
          <w:tab w:val="left" w:pos="1680" w:leader="none"/>
        </w:tabs>
        <w:spacing w:lineRule="exact" w:line="400" w:before="180" w:after="0"/>
        <w:ind w:left="168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門牌：○○省（市）○○縣（市）○○鄉（鎮、市、區）○○路○○段○○巷○○號建物之第○樓○區○排○層○號</w:t>
      </w:r>
    </w:p>
    <w:p>
      <w:pPr>
        <w:pStyle w:val="Normal"/>
        <w:spacing w:lineRule="exact" w:line="400" w:before="180" w:after="0"/>
        <w:ind w:left="1368" w:right="0" w:hanging="46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指定至樓</w:t>
      </w:r>
    </w:p>
    <w:p>
      <w:pPr>
        <w:pStyle w:val="Normal"/>
        <w:spacing w:lineRule="exact" w:line="400"/>
        <w:ind w:left="1320" w:right="0" w:hanging="420"/>
        <w:jc w:val="distribute"/>
        <w:rPr/>
      </w:pPr>
      <w:r>
        <w:rPr>
          <w:rFonts w:ascii="標楷體" w:hAnsi="標楷體" w:eastAsia="標楷體"/>
          <w:sz w:val="28"/>
          <w:szCs w:val="28"/>
        </w:rPr>
        <w:t xml:space="preserve">   </w:t>
      </w:r>
      <w:r>
        <w:rPr>
          <w:rFonts w:ascii="標楷體" w:hAnsi="標楷體" w:eastAsia="標楷體"/>
          <w:sz w:val="28"/>
          <w:szCs w:val="28"/>
        </w:rPr>
        <w:t>本契約之骨灰（骸）存放單位使用權，由乙方出售予甲方，</w:t>
      </w:r>
      <w:r>
        <w:rPr>
          <w:rFonts w:ascii="標楷體" w:hAnsi="標楷體" w:eastAsia="標楷體"/>
          <w:color w:val="000000"/>
          <w:spacing w:val="16"/>
          <w:sz w:val="28"/>
          <w:szCs w:val="28"/>
        </w:rPr>
        <w:t>供甲方供奉、存放其所指定人士之骨灰（骸）使用</w:t>
      </w:r>
      <w:r>
        <w:rPr>
          <w:rFonts w:ascii="標楷體" w:hAnsi="標楷體" w:eastAsia="標楷體"/>
          <w:sz w:val="28"/>
          <w:szCs w:val="28"/>
        </w:rPr>
        <w:t>，其契約標的如下：</w:t>
      </w:r>
    </w:p>
    <w:p>
      <w:pPr>
        <w:pStyle w:val="Normal"/>
        <w:numPr>
          <w:ilvl w:val="0"/>
          <w:numId w:val="6"/>
        </w:numPr>
        <w:tabs>
          <w:tab w:val="clear" w:pos="480"/>
          <w:tab w:val="left" w:pos="1620" w:leader="none"/>
        </w:tabs>
        <w:spacing w:lineRule="exact" w:line="400"/>
        <w:ind w:left="1620" w:hanging="720"/>
        <w:jc w:val="distribute"/>
        <w:rPr/>
      </w:pPr>
      <w:r>
        <w:rPr>
          <w:rFonts w:ascii="標楷體" w:hAnsi="標楷體" w:eastAsia="標楷體"/>
          <w:color w:val="000000"/>
          <w:spacing w:val="16"/>
          <w:sz w:val="28"/>
          <w:szCs w:val="28"/>
        </w:rPr>
        <w:t>殯葬主管機關核准啟用文號：○○縣（市）政府○○年○○○字第○○○○○○○號。</w:t>
      </w:r>
      <w:r>
        <w:rPr>
          <w:rFonts w:ascii="標楷體" w:hAnsi="標楷體" w:eastAsia="標楷體"/>
          <w:sz w:val="28"/>
          <w:szCs w:val="28"/>
        </w:rPr>
        <w:t>啟用日期：</w:t>
      </w:r>
      <w:r>
        <w:rPr>
          <w:rFonts w:ascii="標楷體" w:hAnsi="標楷體" w:eastAsia="標楷體"/>
          <w:color w:val="000000"/>
          <w:spacing w:val="16"/>
          <w:sz w:val="28"/>
          <w:szCs w:val="28"/>
        </w:rPr>
        <w:t>民國○○年○○月○○日。</w:t>
      </w:r>
    </w:p>
    <w:p>
      <w:pPr>
        <w:pStyle w:val="Normal"/>
        <w:numPr>
          <w:ilvl w:val="0"/>
          <w:numId w:val="6"/>
        </w:numPr>
        <w:tabs>
          <w:tab w:val="clear" w:pos="480"/>
          <w:tab w:val="left" w:pos="1620" w:leader="none"/>
        </w:tabs>
        <w:spacing w:lineRule="exact" w:line="400"/>
        <w:ind w:left="162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座落：○○省（市）○○縣（市）○○鄉（鎮、市、區）○○○段○○○小段○○○地號等○○土地上。</w:t>
      </w:r>
    </w:p>
    <w:p>
      <w:pPr>
        <w:pStyle w:val="Normal"/>
        <w:numPr>
          <w:ilvl w:val="0"/>
          <w:numId w:val="6"/>
        </w:numPr>
        <w:tabs>
          <w:tab w:val="clear" w:pos="480"/>
          <w:tab w:val="left" w:pos="1620" w:leader="none"/>
        </w:tabs>
        <w:spacing w:lineRule="exact" w:line="400" w:before="180" w:after="0"/>
        <w:ind w:left="162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門牌：○○省（市）○○縣（市）○○鄉（鎮、市、區）○○路○○段○○巷○○號建物之第○樓</w:t>
      </w:r>
    </w:p>
    <w:p>
      <w:pPr>
        <w:pStyle w:val="Normal"/>
        <w:spacing w:lineRule="exact" w:line="400" w:before="180" w:after="0"/>
        <w:ind w:left="898" w:right="0" w:hanging="0"/>
        <w:jc w:val="distribute"/>
        <w:rPr/>
      </w:pPr>
      <w:r>
        <w:rPr>
          <w:rFonts w:ascii="標楷體" w:hAnsi="標楷體" w:eastAsia="標楷體"/>
          <w:color w:val="000000"/>
          <w:spacing w:val="16"/>
          <w:sz w:val="28"/>
          <w:szCs w:val="28"/>
        </w:rPr>
        <w:t>乙方應提供可選用之標的範圍為第○樓內○○商品（須明列商品名稱）編號○○號至○○號（如附圖），並於營業場所提供相關系統可供甲方查詢所指定樓層之最新販售數量與選位情形</w:t>
      </w:r>
      <w:r>
        <w:rPr>
          <w:rFonts w:ascii="標楷體" w:hAnsi="標楷體" w:eastAsia="標楷體"/>
          <w:color w:val="000000"/>
          <w:sz w:val="28"/>
          <w:szCs w:val="28"/>
        </w:rPr>
        <w:t>。</w:t>
      </w:r>
      <w:r>
        <w:rPr>
          <w:rFonts w:ascii="標楷體" w:hAnsi="標楷體" w:eastAsia="標楷體"/>
          <w:color w:val="000000"/>
          <w:spacing w:val="16"/>
          <w:sz w:val="28"/>
          <w:szCs w:val="28"/>
        </w:rPr>
        <w:t xml:space="preserve">       </w:t>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pPr>
      <w:r>
        <w:rPr>
          <w:rFonts w:ascii="標楷體" w:hAnsi="標楷體" w:eastAsia="標楷體"/>
          <w:color w:val="000000"/>
        </w:rPr>
        <w:t>第二條（</w:t>
      </w:r>
      <w:r>
        <w:rPr>
          <w:rFonts w:ascii="標楷體" w:hAnsi="標楷體" w:eastAsia="標楷體"/>
          <w:color w:val="000000"/>
          <w:sz w:val="28"/>
          <w:szCs w:val="28"/>
        </w:rPr>
        <w:t>適用範圍、廣告責任與自訂規範不得牴觸本契約</w:t>
      </w:r>
      <w:r>
        <w:rPr>
          <w:rFonts w:ascii="標楷體" w:hAnsi="標楷體" w:eastAsia="標楷體"/>
          <w:color w:val="000000"/>
        </w:rPr>
        <w:t>）</w:t>
      </w:r>
    </w:p>
    <w:p>
      <w:pPr>
        <w:pStyle w:val="Normal"/>
        <w:spacing w:lineRule="exact" w:line="400"/>
        <w:ind w:left="1080" w:right="0" w:hanging="0"/>
        <w:jc w:val="distribute"/>
        <w:rPr/>
      </w:pPr>
      <w:r>
        <w:rPr>
          <w:rFonts w:ascii="標楷體" w:hAnsi="標楷體" w:eastAsia="標楷體"/>
          <w:color w:val="000000"/>
          <w:sz w:val="28"/>
          <w:szCs w:val="28"/>
        </w:rPr>
        <w:t>甲、乙</w:t>
      </w:r>
      <w:r>
        <w:rPr>
          <w:rFonts w:ascii="標楷體" w:hAnsi="標楷體" w:eastAsia="標楷體"/>
          <w:color w:val="000000"/>
          <w:spacing w:val="16"/>
          <w:sz w:val="28"/>
          <w:szCs w:val="28"/>
        </w:rPr>
        <w:t>雙方關於骨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使用權買賣之權利義務，依本契約之約定。</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乙方應確保廣告內容之真實，對甲方所負之義務不得低於廣告之內容。文宣與廣告均視為契約內容之一部分。</w:t>
      </w:r>
    </w:p>
    <w:p>
      <w:pPr>
        <w:pStyle w:val="Normal"/>
        <w:spacing w:lineRule="exact" w:line="400"/>
        <w:ind w:left="1080" w:right="0" w:hanging="0"/>
        <w:jc w:val="distribute"/>
        <w:rPr/>
      </w:pPr>
      <w:r>
        <w:rPr>
          <w:rFonts w:ascii="標楷體" w:hAnsi="標楷體" w:eastAsia="標楷體"/>
          <w:color w:val="000000"/>
          <w:sz w:val="28"/>
          <w:szCs w:val="28"/>
        </w:rPr>
        <w:t>乙方自訂之</w:t>
      </w:r>
      <w:r>
        <w:rPr>
          <w:rFonts w:ascii="標楷體" w:hAnsi="標楷體" w:eastAsia="標楷體"/>
          <w:color w:val="000000"/>
          <w:spacing w:val="16"/>
          <w:sz w:val="28"/>
          <w:szCs w:val="28"/>
        </w:rPr>
        <w:t>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使用權</w:t>
      </w:r>
      <w:r>
        <w:rPr>
          <w:rFonts w:ascii="標楷體" w:hAnsi="標楷體" w:eastAsia="標楷體"/>
          <w:color w:val="000000"/>
          <w:sz w:val="28"/>
          <w:szCs w:val="28"/>
        </w:rPr>
        <w:t>相關規範，不得牴觸本契約。</w:t>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pPr>
      <w:r>
        <w:rPr>
          <w:rFonts w:ascii="標楷體" w:hAnsi="標楷體" w:eastAsia="標楷體"/>
          <w:color w:val="000000"/>
        </w:rPr>
        <w:t>第三條</w:t>
      </w:r>
      <w:r>
        <w:rPr>
          <w:rFonts w:ascii="標楷體" w:hAnsi="標楷體" w:eastAsia="標楷體"/>
          <w:color w:val="000000"/>
          <w:sz w:val="28"/>
          <w:szCs w:val="28"/>
        </w:rPr>
        <w:t>（期間）</w:t>
      </w:r>
    </w:p>
    <w:p>
      <w:pPr>
        <w:pStyle w:val="Normal"/>
        <w:spacing w:lineRule="exact" w:line="40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永久使用權</w:t>
      </w:r>
    </w:p>
    <w:p>
      <w:pPr>
        <w:pStyle w:val="Normal"/>
        <w:spacing w:lineRule="exact" w:line="400" w:before="180" w:after="0"/>
        <w:ind w:left="1080" w:right="0" w:hanging="0"/>
        <w:jc w:val="distribute"/>
        <w:rPr/>
      </w:pPr>
      <w:r>
        <w:rPr>
          <w:rFonts w:ascii="標楷體" w:hAnsi="標楷體" w:eastAsia="標楷體"/>
          <w:color w:val="000000"/>
          <w:spacing w:val="16"/>
          <w:sz w:val="28"/>
          <w:szCs w:val="28"/>
        </w:rPr>
        <w:t>乙方同意甲方永久供奉存放骨灰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至該骨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自然老舊不能修復時止。其期間自○年○月○日起不得少於○○年。</w:t>
      </w:r>
    </w:p>
    <w:p>
      <w:pPr>
        <w:pStyle w:val="Normal"/>
        <w:spacing w:lineRule="exact" w:line="400" w:before="18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前項期間，如因不可抗力或其他事變致喪失存放骨灰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功能，而不能修復或修復顯有重大困難，契約視為終止。</w:t>
      </w:r>
    </w:p>
    <w:p>
      <w:pPr>
        <w:pStyle w:val="Normal"/>
        <w:spacing w:lineRule="exact" w:line="400" w:before="18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前二項骨灰（骸）存放設施是否為不能修復或修復顯有重大困難，由乙方洽請公正之專業機構或公會認定。</w:t>
      </w:r>
    </w:p>
    <w:p>
      <w:pPr>
        <w:pStyle w:val="Normal"/>
        <w:spacing w:lineRule="exact" w:line="400" w:before="180" w:after="0"/>
        <w:ind w:left="1080" w:right="0" w:hanging="2"/>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第一項永久使用期間屆滿前老舊不能修復或第二項視為終止事由發生時，其甲方不能使用之期間，乙方應按比例返還使用權價金及超收之骨灰（骸）存放單位管理費。</w:t>
      </w:r>
    </w:p>
    <w:p>
      <w:pPr>
        <w:pStyle w:val="Normal"/>
        <w:spacing w:lineRule="exact" w:line="400" w:before="18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第二項有不可抗力或事變所生之毀損，於修復期間，乙方仍應負本契約所定各項義務。</w:t>
      </w:r>
    </w:p>
    <w:p>
      <w:pPr>
        <w:pStyle w:val="Normal"/>
        <w:spacing w:lineRule="exact" w:line="400" w:before="180" w:after="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固定年限使用權</w:t>
      </w:r>
    </w:p>
    <w:p>
      <w:pPr>
        <w:pStyle w:val="Normal"/>
        <w:spacing w:lineRule="exact" w:line="400" w:before="180" w:after="0"/>
        <w:ind w:left="1081" w:right="0" w:hanging="387"/>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乙方同意甲方供奉存放骨灰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從民國○○年○○月○○日至○○年○○月○○日，共使用○○年。</w:t>
      </w:r>
    </w:p>
    <w:p>
      <w:pPr>
        <w:pStyle w:val="Normal"/>
        <w:spacing w:lineRule="exact" w:line="400" w:before="180" w:after="0"/>
        <w:ind w:left="1080" w:right="0" w:hanging="1104"/>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前項期間，如因不可抗力或其他事變致喪失存放骨灰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功能，而不能修復或修復顯有重大困難，契約視為終止。</w:t>
      </w:r>
    </w:p>
    <w:p>
      <w:pPr>
        <w:pStyle w:val="Normal"/>
        <w:spacing w:lineRule="exact" w:line="400" w:before="180" w:after="0"/>
        <w:ind w:left="1081" w:right="0" w:hanging="387"/>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前二項骨灰（骸）存放設施是否為不能修復或修復顯有重大困難，由乙方洽請公正之專業機構或公會認定。</w:t>
      </w:r>
    </w:p>
    <w:p>
      <w:pPr>
        <w:pStyle w:val="Normal"/>
        <w:spacing w:lineRule="exact" w:line="400" w:before="18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第一項使用期間屆滿前老舊不能修復或第二項視為終止事由發生時，其甲方不能使用之期間，乙方應按比例返還使用權價金及超收之骨灰（骸）存放單位管理費。</w:t>
      </w:r>
    </w:p>
    <w:p>
      <w:pPr>
        <w:pStyle w:val="Normal"/>
        <w:spacing w:lineRule="exact" w:line="400" w:before="180" w:after="0"/>
        <w:ind w:left="1081" w:right="0" w:hanging="39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第二項有不可抗力或事變所生之毀損，於修復期間，乙方仍應負本契約所定各項義務。</w:t>
      </w:r>
    </w:p>
    <w:p>
      <w:pPr>
        <w:pStyle w:val="Normal"/>
        <w:spacing w:lineRule="exact" w:line="400" w:before="180" w:after="0"/>
        <w:ind w:left="900" w:right="0" w:hanging="899"/>
        <w:jc w:val="distribute"/>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乙方應於甲方之骨灰（骸）存放單位使用期間屆滿前三個月以書面通知甲方，甲方收到通知後應於使用期間屆滿前將骨灰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領回，如屆滿後甲方未領回者，乙方應再次以書面通知甲方，甲方於通知收到後三個月內仍未領回時，乙方得將甲方之骨灰（骸）存放單位內</w:t>
      </w:r>
      <w:r>
        <w:rPr>
          <w:rFonts w:ascii="標楷體" w:hAnsi="標楷體" w:eastAsia="標楷體"/>
          <w:color w:val="000000"/>
          <w:sz w:val="28"/>
          <w:szCs w:val="28"/>
        </w:rPr>
        <w:t>之</w:t>
      </w:r>
      <w:r>
        <w:rPr>
          <w:rFonts w:ascii="標楷體" w:hAnsi="標楷體" w:eastAsia="標楷體"/>
          <w:color w:val="000000"/>
          <w:spacing w:val="16"/>
          <w:sz w:val="28"/>
          <w:szCs w:val="28"/>
        </w:rPr>
        <w:t>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移除，並依殯葬管理條例之規定處理。</w:t>
      </w:r>
    </w:p>
    <w:p>
      <w:pPr>
        <w:pStyle w:val="Normal"/>
        <w:spacing w:lineRule="exact" w:line="400" w:before="180" w:after="0"/>
        <w:ind w:left="644" w:right="0" w:hanging="644"/>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pPr>
      <w:r>
        <w:rPr>
          <w:rFonts w:ascii="標楷體" w:hAnsi="標楷體" w:eastAsia="標楷體"/>
          <w:color w:val="000000"/>
          <w:sz w:val="28"/>
          <w:szCs w:val="28"/>
        </w:rPr>
        <w:t>第四條（</w:t>
      </w:r>
      <w:r>
        <w:rPr>
          <w:rFonts w:ascii="標楷體" w:hAnsi="標楷體" w:eastAsia="標楷體"/>
          <w:color w:val="000000"/>
          <w:spacing w:val="16"/>
          <w:sz w:val="28"/>
          <w:szCs w:val="28"/>
        </w:rPr>
        <w:t>用途</w:t>
      </w:r>
      <w:r>
        <w:rPr>
          <w:rFonts w:ascii="標楷體" w:hAnsi="標楷體" w:eastAsia="標楷體"/>
          <w:color w:val="000000"/>
          <w:sz w:val="28"/>
          <w:szCs w:val="28"/>
        </w:rPr>
        <w:t xml:space="preserve">） </w:t>
      </w:r>
    </w:p>
    <w:p>
      <w:pPr>
        <w:pStyle w:val="Normal"/>
        <w:spacing w:lineRule="exact" w:line="400"/>
        <w:ind w:left="90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甲方同意除供奉存放骨灰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外，不得存放其他物品，違反 約定時，應依乙方之通知將該物品除去；如乙方有合理可疑之證據，足認甲方所存放之物為違禁物時，得會同警察人員一起檢視，並依法處理。</w:t>
      </w:r>
    </w:p>
    <w:p>
      <w:pPr>
        <w:pStyle w:val="Normal"/>
        <w:spacing w:lineRule="exact" w:line="40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pPr>
      <w:r>
        <w:rPr>
          <w:rFonts w:ascii="標楷體" w:hAnsi="標楷體" w:eastAsia="標楷體"/>
          <w:color w:val="000000"/>
          <w:sz w:val="28"/>
          <w:szCs w:val="28"/>
        </w:rPr>
        <w:t>第五條（乙</w:t>
      </w:r>
      <w:r>
        <w:rPr>
          <w:rFonts w:ascii="標楷體" w:hAnsi="標楷體" w:eastAsia="標楷體"/>
          <w:color w:val="000000"/>
          <w:spacing w:val="16"/>
          <w:sz w:val="28"/>
          <w:szCs w:val="28"/>
        </w:rPr>
        <w:t>方之維護義務</w:t>
      </w:r>
      <w:r>
        <w:rPr>
          <w:rFonts w:ascii="標楷體" w:hAnsi="標楷體" w:eastAsia="標楷體"/>
          <w:color w:val="000000"/>
          <w:sz w:val="28"/>
          <w:szCs w:val="28"/>
        </w:rPr>
        <w:t>）</w:t>
      </w:r>
    </w:p>
    <w:p>
      <w:pPr>
        <w:pStyle w:val="Normal"/>
        <w:spacing w:lineRule="exact" w:line="400"/>
        <w:ind w:left="0" w:right="0" w:firstLine="899"/>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乙方應盡善良管理人之注意履行下列義務：</w:t>
      </w:r>
    </w:p>
    <w:p>
      <w:pPr>
        <w:pStyle w:val="Normal"/>
        <w:numPr>
          <w:ilvl w:val="0"/>
          <w:numId w:val="7"/>
        </w:numPr>
        <w:tabs>
          <w:tab w:val="clear" w:pos="480"/>
          <w:tab w:val="left" w:pos="1590" w:leader="none"/>
        </w:tabs>
        <w:spacing w:lineRule="exact" w:line="400"/>
        <w:ind w:left="159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骨灰（骸）存放設施之修繕維護。</w:t>
      </w:r>
    </w:p>
    <w:p>
      <w:pPr>
        <w:pStyle w:val="Normal"/>
        <w:numPr>
          <w:ilvl w:val="0"/>
          <w:numId w:val="7"/>
        </w:numPr>
        <w:tabs>
          <w:tab w:val="clear" w:pos="480"/>
          <w:tab w:val="left" w:pos="1590" w:leader="none"/>
        </w:tabs>
        <w:spacing w:lineRule="exact" w:line="400"/>
        <w:ind w:left="159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骨灰（骸）存放設施內外之定期保養維護。</w:t>
      </w:r>
    </w:p>
    <w:p>
      <w:pPr>
        <w:pStyle w:val="Normal"/>
        <w:numPr>
          <w:ilvl w:val="0"/>
          <w:numId w:val="7"/>
        </w:numPr>
        <w:tabs>
          <w:tab w:val="clear" w:pos="480"/>
          <w:tab w:val="left" w:pos="1590" w:leader="none"/>
        </w:tabs>
        <w:spacing w:lineRule="exact" w:line="400"/>
        <w:ind w:left="159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骨灰（骸）存放設施之四週花木、植栽、修剪與環境衛生安全之保養維護。</w:t>
      </w:r>
    </w:p>
    <w:p>
      <w:pPr>
        <w:pStyle w:val="Normal"/>
        <w:numPr>
          <w:ilvl w:val="0"/>
          <w:numId w:val="7"/>
        </w:numPr>
        <w:tabs>
          <w:tab w:val="clear" w:pos="480"/>
          <w:tab w:val="left" w:pos="1590" w:leader="none"/>
        </w:tabs>
        <w:spacing w:lineRule="exact" w:line="400"/>
        <w:ind w:left="159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骨灰（骸）存放設施內外照明等必要費用之支付。</w:t>
      </w:r>
    </w:p>
    <w:p>
      <w:pPr>
        <w:pStyle w:val="Normal"/>
        <w:numPr>
          <w:ilvl w:val="0"/>
          <w:numId w:val="7"/>
        </w:numPr>
        <w:tabs>
          <w:tab w:val="clear" w:pos="480"/>
          <w:tab w:val="left" w:pos="1590" w:leader="none"/>
        </w:tabs>
        <w:spacing w:lineRule="exact" w:line="400"/>
        <w:ind w:left="159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骨灰（骸）存放設施之各樓層之清潔管理。</w:t>
      </w:r>
    </w:p>
    <w:p>
      <w:pPr>
        <w:pStyle w:val="Normal"/>
        <w:spacing w:lineRule="exact" w:line="400"/>
        <w:ind w:left="720" w:right="0" w:hanging="0"/>
        <w:jc w:val="distribute"/>
        <w:rPr>
          <w:rFonts w:ascii="標楷體" w:hAnsi="標楷體" w:eastAsia="標楷體"/>
          <w:color w:val="000000"/>
          <w:sz w:val="28"/>
        </w:rPr>
      </w:pPr>
      <w:r>
        <w:rPr>
          <w:rFonts w:eastAsia="標楷體" w:ascii="標楷體" w:hAnsi="標楷體"/>
          <w:color w:val="000000"/>
          <w:sz w:val="28"/>
        </w:rPr>
      </w:r>
    </w:p>
    <w:p>
      <w:pPr>
        <w:pStyle w:val="Normal"/>
        <w:spacing w:lineRule="exact" w:line="400"/>
        <w:jc w:val="distribute"/>
        <w:rPr/>
      </w:pPr>
      <w:r>
        <w:rPr>
          <w:rFonts w:ascii="標楷體" w:hAnsi="標楷體" w:eastAsia="標楷體"/>
          <w:color w:val="000000"/>
          <w:sz w:val="28"/>
          <w:szCs w:val="28"/>
        </w:rPr>
        <w:t>第六條（乙</w:t>
      </w:r>
      <w:r>
        <w:rPr>
          <w:rFonts w:ascii="標楷體" w:hAnsi="標楷體" w:eastAsia="標楷體"/>
          <w:color w:val="000000"/>
          <w:spacing w:val="16"/>
          <w:sz w:val="28"/>
          <w:szCs w:val="28"/>
        </w:rPr>
        <w:t>方之祭祀義務</w:t>
      </w:r>
      <w:r>
        <w:rPr>
          <w:rFonts w:ascii="標楷體" w:hAnsi="標楷體" w:eastAsia="標楷體"/>
          <w:color w:val="000000"/>
          <w:sz w:val="28"/>
          <w:szCs w:val="28"/>
        </w:rPr>
        <w:t>）</w:t>
      </w:r>
    </w:p>
    <w:p>
      <w:pPr>
        <w:pStyle w:val="Normal"/>
        <w:spacing w:lineRule="exact" w:line="400"/>
        <w:ind w:left="899" w:right="0" w:hanging="899"/>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乙方應依契約附件之管理辦法所規定之方式，履行下列祭祀義務：</w:t>
      </w:r>
    </w:p>
    <w:p>
      <w:pPr>
        <w:pStyle w:val="Normal"/>
        <w:numPr>
          <w:ilvl w:val="0"/>
          <w:numId w:val="8"/>
        </w:numPr>
        <w:tabs>
          <w:tab w:val="clear" w:pos="480"/>
          <w:tab w:val="left" w:pos="1698" w:leader="none"/>
        </w:tabs>
        <w:spacing w:lineRule="exact" w:line="400"/>
        <w:ind w:left="1698"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祭堂定時晉奉花果香燭。</w:t>
      </w:r>
    </w:p>
    <w:p>
      <w:pPr>
        <w:pStyle w:val="Normal"/>
        <w:numPr>
          <w:ilvl w:val="0"/>
          <w:numId w:val="8"/>
        </w:numPr>
        <w:tabs>
          <w:tab w:val="clear" w:pos="480"/>
          <w:tab w:val="left" w:pos="1698" w:leader="none"/>
        </w:tabs>
        <w:spacing w:lineRule="exact" w:line="400"/>
        <w:ind w:left="1698"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每月定期舉辦宗教祭拜儀式。</w:t>
      </w:r>
    </w:p>
    <w:p>
      <w:pPr>
        <w:pStyle w:val="Normal"/>
        <w:numPr>
          <w:ilvl w:val="0"/>
          <w:numId w:val="8"/>
        </w:numPr>
        <w:tabs>
          <w:tab w:val="clear" w:pos="480"/>
          <w:tab w:val="left" w:pos="1698" w:leader="none"/>
        </w:tabs>
        <w:spacing w:lineRule="exact" w:line="400"/>
        <w:ind w:left="1698"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每年春秋兩祀擴大舉行公祭。</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1290" w:right="0" w:hanging="1290"/>
        <w:jc w:val="distribute"/>
        <w:rPr/>
      </w:pPr>
      <w:r>
        <w:rPr>
          <w:rFonts w:ascii="標楷體" w:hAnsi="標楷體" w:eastAsia="標楷體"/>
          <w:color w:val="000000"/>
          <w:sz w:val="28"/>
          <w:szCs w:val="28"/>
        </w:rPr>
        <w:t>第七條（乙</w:t>
      </w:r>
      <w:r>
        <w:rPr>
          <w:rFonts w:ascii="標楷體" w:hAnsi="標楷體" w:eastAsia="標楷體"/>
          <w:color w:val="000000"/>
          <w:spacing w:val="16"/>
          <w:sz w:val="28"/>
          <w:szCs w:val="28"/>
        </w:rPr>
        <w:t>方之通知義務</w:t>
      </w:r>
      <w:r>
        <w:rPr>
          <w:rFonts w:ascii="標楷體" w:hAnsi="標楷體" w:eastAsia="標楷體"/>
          <w:color w:val="000000"/>
          <w:sz w:val="28"/>
          <w:szCs w:val="28"/>
        </w:rPr>
        <w:t>）</w:t>
      </w:r>
    </w:p>
    <w:p>
      <w:pPr>
        <w:pStyle w:val="Normal"/>
        <w:spacing w:lineRule="exact" w:line="400"/>
        <w:ind w:left="1080" w:right="0" w:hanging="0"/>
        <w:jc w:val="distribute"/>
        <w:rPr/>
      </w:pPr>
      <w:r>
        <w:rPr>
          <w:rFonts w:ascii="標楷體" w:hAnsi="標楷體" w:eastAsia="標楷體"/>
          <w:color w:val="000000"/>
          <w:spacing w:val="16"/>
          <w:sz w:val="28"/>
          <w:szCs w:val="28"/>
        </w:rPr>
        <w:t>乙方遇有第三條或第四條之情形、骨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之重大修繕、骨灰</w:t>
      </w:r>
      <w:r>
        <w:rPr>
          <w:rFonts w:ascii="標楷體" w:hAnsi="標楷體" w:eastAsia="標楷體"/>
          <w:color w:val="000000"/>
          <w:sz w:val="28"/>
          <w:szCs w:val="28"/>
        </w:rPr>
        <w:t>（骸）</w:t>
      </w:r>
      <w:r>
        <w:rPr>
          <w:rFonts w:ascii="標楷體" w:hAnsi="標楷體" w:eastAsia="標楷體"/>
          <w:color w:val="000000"/>
          <w:spacing w:val="16"/>
          <w:sz w:val="28"/>
          <w:szCs w:val="28"/>
        </w:rPr>
        <w:t>位置移動或容器翻覆或其他重要事項，應立即通知甲方。</w:t>
      </w:r>
    </w:p>
    <w:p>
      <w:pPr>
        <w:pStyle w:val="Normal"/>
        <w:spacing w:lineRule="exact" w:line="400"/>
        <w:ind w:left="25" w:right="0" w:hanging="25"/>
        <w:jc w:val="distribute"/>
        <w:rPr/>
      </w:pPr>
      <w:r>
        <w:rPr>
          <w:rFonts w:ascii="標楷體" w:hAnsi="標楷體" w:eastAsia="標楷體"/>
          <w:color w:val="000000"/>
          <w:sz w:val="28"/>
          <w:szCs w:val="28"/>
        </w:rPr>
        <w:t>第八條（</w:t>
      </w:r>
      <w:r>
        <w:rPr>
          <w:rFonts w:ascii="標楷體" w:hAnsi="標楷體" w:eastAsia="標楷體"/>
          <w:color w:val="000000"/>
          <w:spacing w:val="16"/>
          <w:sz w:val="28"/>
          <w:szCs w:val="28"/>
        </w:rPr>
        <w:t>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更動之限制</w:t>
      </w:r>
      <w:r>
        <w:rPr>
          <w:rFonts w:ascii="標楷體" w:hAnsi="標楷體" w:eastAsia="標楷體"/>
          <w:color w:val="000000"/>
          <w:sz w:val="28"/>
          <w:szCs w:val="28"/>
        </w:rPr>
        <w:t>）</w:t>
      </w:r>
    </w:p>
    <w:p>
      <w:pPr>
        <w:pStyle w:val="Normal"/>
        <w:spacing w:lineRule="exact" w:line="400"/>
        <w:ind w:left="1080" w:right="0" w:hanging="0"/>
        <w:jc w:val="distribute"/>
        <w:rPr/>
      </w:pPr>
      <w:r>
        <w:rPr>
          <w:rFonts w:ascii="標楷體" w:hAnsi="標楷體" w:eastAsia="標楷體"/>
          <w:color w:val="000000"/>
          <w:spacing w:val="16"/>
          <w:sz w:val="28"/>
          <w:szCs w:val="28"/>
        </w:rPr>
        <w:t>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同樓層存放單位之總數不得擅自增加；骨</w:t>
      </w:r>
      <w:r>
        <w:rPr>
          <w:rFonts w:ascii="標楷體" w:hAnsi="標楷體" w:eastAsia="標楷體"/>
          <w:color w:val="000000"/>
          <w:sz w:val="28"/>
          <w:szCs w:val="28"/>
        </w:rPr>
        <w:t>灰（骸）</w:t>
      </w:r>
      <w:r>
        <w:rPr>
          <w:rFonts w:ascii="標楷體" w:hAnsi="標楷體" w:eastAsia="標楷體"/>
          <w:color w:val="000000"/>
          <w:spacing w:val="16"/>
          <w:sz w:val="28"/>
          <w:szCs w:val="28"/>
        </w:rPr>
        <w:t>存放單位位置方向，未經甲方同意，不得擅自變更或移動。</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1290" w:right="0" w:hanging="1290"/>
        <w:jc w:val="distribute"/>
        <w:rPr/>
      </w:pPr>
      <w:r>
        <w:rPr>
          <w:rFonts w:ascii="標楷體" w:hAnsi="標楷體" w:eastAsia="標楷體"/>
          <w:color w:val="000000"/>
          <w:sz w:val="28"/>
          <w:szCs w:val="28"/>
        </w:rPr>
        <w:t>第九條（</w:t>
      </w:r>
      <w:r>
        <w:rPr>
          <w:rFonts w:ascii="標楷體" w:hAnsi="標楷體" w:eastAsia="標楷體"/>
          <w:color w:val="000000"/>
          <w:spacing w:val="16"/>
          <w:sz w:val="28"/>
          <w:szCs w:val="28"/>
        </w:rPr>
        <w:t>開放時間</w:t>
      </w:r>
      <w:r>
        <w:rPr>
          <w:rFonts w:ascii="標楷體" w:hAnsi="標楷體" w:eastAsia="標楷體"/>
          <w:color w:val="000000"/>
          <w:sz w:val="28"/>
          <w:szCs w:val="28"/>
        </w:rPr>
        <w:t>）</w:t>
      </w:r>
    </w:p>
    <w:p>
      <w:pPr>
        <w:pStyle w:val="Normal"/>
        <w:spacing w:lineRule="exact" w:line="400"/>
        <w:ind w:left="1080" w:right="0" w:hanging="0"/>
        <w:jc w:val="distribute"/>
        <w:rPr/>
      </w:pPr>
      <w:r>
        <w:rPr>
          <w:rFonts w:ascii="標楷體" w:hAnsi="標楷體" w:eastAsia="標楷體"/>
          <w:color w:val="000000"/>
          <w:spacing w:val="16"/>
          <w:sz w:val="28"/>
          <w:szCs w:val="28"/>
        </w:rPr>
        <w:t>本骨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開放時間為上午○○時至下午○○時，非開放時間，除因舉行骨灰</w:t>
      </w:r>
      <w:r>
        <w:rPr>
          <w:rFonts w:eastAsia="標楷體" w:ascii="標楷體" w:hAnsi="標楷體"/>
          <w:color w:val="000000"/>
          <w:spacing w:val="16"/>
          <w:sz w:val="28"/>
          <w:szCs w:val="28"/>
        </w:rPr>
        <w:t>(</w:t>
      </w:r>
      <w:r>
        <w:rPr>
          <w:rFonts w:ascii="標楷體" w:hAnsi="標楷體" w:eastAsia="標楷體"/>
          <w:color w:val="000000"/>
          <w:spacing w:val="16"/>
          <w:sz w:val="28"/>
          <w:szCs w:val="28"/>
        </w:rPr>
        <w:t>骸</w:t>
      </w:r>
      <w:r>
        <w:rPr>
          <w:rFonts w:eastAsia="標楷體" w:ascii="標楷體" w:hAnsi="標楷體"/>
          <w:color w:val="000000"/>
          <w:spacing w:val="16"/>
          <w:sz w:val="28"/>
          <w:szCs w:val="28"/>
        </w:rPr>
        <w:t>)</w:t>
      </w:r>
      <w:r>
        <w:rPr>
          <w:rFonts w:ascii="標楷體" w:hAnsi="標楷體" w:eastAsia="標楷體"/>
          <w:color w:val="000000"/>
          <w:spacing w:val="16"/>
          <w:sz w:val="28"/>
          <w:szCs w:val="28"/>
        </w:rPr>
        <w:t>安放儀式，甲方不得進入。</w:t>
      </w:r>
    </w:p>
    <w:p>
      <w:pPr>
        <w:pStyle w:val="Normal"/>
        <w:spacing w:lineRule="exact" w:line="400"/>
        <w:ind w:left="1080" w:right="0" w:hanging="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pPr>
      <w:r>
        <w:rPr>
          <w:rFonts w:ascii="標楷體" w:hAnsi="標楷體" w:eastAsia="標楷體"/>
          <w:color w:val="000000"/>
          <w:sz w:val="28"/>
          <w:szCs w:val="28"/>
        </w:rPr>
        <w:t>第十條（甲</w:t>
      </w:r>
      <w:r>
        <w:rPr>
          <w:rFonts w:ascii="標楷體" w:hAnsi="標楷體" w:eastAsia="標楷體"/>
          <w:color w:val="000000"/>
          <w:spacing w:val="16"/>
          <w:sz w:val="28"/>
          <w:szCs w:val="28"/>
        </w:rPr>
        <w:t>方之義務</w:t>
      </w:r>
      <w:r>
        <w:rPr>
          <w:rFonts w:ascii="標楷體" w:hAnsi="標楷體" w:eastAsia="標楷體"/>
          <w:color w:val="000000"/>
          <w:sz w:val="28"/>
          <w:szCs w:val="28"/>
        </w:rPr>
        <w:t>）</w:t>
      </w:r>
    </w:p>
    <w:p>
      <w:pPr>
        <w:pStyle w:val="Normal"/>
        <w:spacing w:lineRule="exact" w:line="400"/>
        <w:ind w:left="1080" w:right="0" w:hanging="0"/>
        <w:jc w:val="distribute"/>
        <w:rPr/>
      </w:pPr>
      <w:r>
        <w:rPr>
          <w:rFonts w:ascii="標楷體" w:hAnsi="標楷體" w:eastAsia="標楷體"/>
          <w:color w:val="000000"/>
          <w:spacing w:val="16"/>
          <w:sz w:val="28"/>
          <w:szCs w:val="28"/>
        </w:rPr>
        <w:t>為維護骨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之安全及整潔，甲方應遵守下列事項：</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骨灰（骸）存放前，應以容器嚴密封閉，以保持衛生。</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凡啟封骨灰（骸）存放單位面板，應事先通知乙方，由乙方為之。</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進入骨灰（骸）存放設施時，應向乙方管理人員登記。</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祭品應擺設在指定位置，廢棄物不得任意丟棄。</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入內追思祭拜等儀式，應遵守乙方之規定。</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骨灰（骸）存放設施內不得吸煙及不得攜帶易燃物品進入。</w:t>
      </w:r>
    </w:p>
    <w:p>
      <w:pPr>
        <w:pStyle w:val="Normal"/>
        <w:numPr>
          <w:ilvl w:val="0"/>
          <w:numId w:val="9"/>
        </w:numPr>
        <w:tabs>
          <w:tab w:val="clear" w:pos="480"/>
          <w:tab w:val="left" w:pos="1829" w:leader="none"/>
        </w:tabs>
        <w:spacing w:lineRule="exact" w:line="400"/>
        <w:ind w:left="1829"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其他：</w:t>
      </w:r>
    </w:p>
    <w:p>
      <w:pPr>
        <w:pStyle w:val="Normal"/>
        <w:spacing w:lineRule="exact" w:line="400"/>
        <w:ind w:left="1109" w:right="0" w:hanging="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104" w:right="0" w:hanging="1033"/>
        <w:jc w:val="distribute"/>
        <w:rPr/>
      </w:pPr>
      <w:r>
        <w:rPr>
          <w:rFonts w:ascii="標楷體" w:hAnsi="標楷體" w:eastAsia="標楷體"/>
          <w:color w:val="000000"/>
          <w:spacing w:val="16"/>
          <w:sz w:val="28"/>
          <w:szCs w:val="28"/>
        </w:rPr>
        <w:t xml:space="preserve">     </w:t>
      </w:r>
      <w:r>
        <w:rPr>
          <w:rFonts w:ascii="標楷體" w:hAnsi="標楷體" w:eastAsia="標楷體"/>
          <w:color w:val="000000"/>
          <w:sz w:val="28"/>
          <w:szCs w:val="28"/>
        </w:rPr>
        <w:t>第十一條（</w:t>
      </w:r>
      <w:r>
        <w:rPr>
          <w:rFonts w:ascii="標楷體" w:hAnsi="標楷體" w:eastAsia="標楷體"/>
          <w:color w:val="000000"/>
          <w:spacing w:val="16"/>
          <w:sz w:val="28"/>
          <w:szCs w:val="28"/>
        </w:rPr>
        <w:t>合法經營之擔保及證明</w:t>
      </w:r>
      <w:r>
        <w:rPr>
          <w:rFonts w:ascii="標楷體" w:hAnsi="標楷體" w:eastAsia="標楷體"/>
          <w:color w:val="000000"/>
          <w:sz w:val="28"/>
          <w:szCs w:val="28"/>
        </w:rPr>
        <w:t>）</w:t>
      </w:r>
    </w:p>
    <w:p>
      <w:pPr>
        <w:pStyle w:val="Normal"/>
        <w:spacing w:lineRule="exact" w:line="400"/>
        <w:ind w:left="1076" w:right="0" w:hanging="178"/>
        <w:jc w:val="distribute"/>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乙方應擔保其係合法經營骨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，且其</w:t>
      </w:r>
      <w:r>
        <w:rPr>
          <w:rFonts w:ascii="標楷體" w:hAnsi="標楷體" w:eastAsia="標楷體"/>
          <w:color w:val="000000"/>
          <w:sz w:val="28"/>
          <w:szCs w:val="28"/>
        </w:rPr>
        <w:t>存放設施</w:t>
      </w:r>
      <w:r>
        <w:rPr>
          <w:rFonts w:ascii="標楷體" w:hAnsi="標楷體" w:eastAsia="標楷體"/>
          <w:color w:val="000000"/>
          <w:spacing w:val="16"/>
          <w:sz w:val="28"/>
          <w:szCs w:val="28"/>
        </w:rPr>
        <w:t>係合法設置、擴充、增建或改建、啟用及使用。</w:t>
      </w:r>
    </w:p>
    <w:p>
      <w:pPr>
        <w:pStyle w:val="Normal"/>
        <w:spacing w:lineRule="exact" w:line="400" w:before="180" w:after="0"/>
        <w:ind w:left="0" w:right="0" w:firstLine="624"/>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乙方應備置下列相關文件影本，供甲方隨時查閱：</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公司執照、商業登記或法人登記證明文件。</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營利事業登記證明文件。</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核准設置文件。</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建造執照。</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使用執照。</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核准啟用文件。</w:t>
      </w:r>
    </w:p>
    <w:p>
      <w:pPr>
        <w:pStyle w:val="Normal"/>
        <w:numPr>
          <w:ilvl w:val="0"/>
          <w:numId w:val="3"/>
        </w:numPr>
        <w:tabs>
          <w:tab w:val="clear" w:pos="480"/>
          <w:tab w:val="left" w:pos="1190" w:leader="none"/>
        </w:tabs>
        <w:spacing w:lineRule="exact" w:line="400"/>
        <w:ind w:left="1190" w:right="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殯葬設施經營業經營許可文件。 </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第十二條（價金及管理費）</w:t>
      </w:r>
    </w:p>
    <w:p>
      <w:pPr>
        <w:pStyle w:val="Normal"/>
        <w:spacing w:lineRule="exact" w:line="400"/>
        <w:ind w:left="1260" w:right="0" w:hanging="2"/>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骨灰（骸）存放單位使用權之價金為新臺幣○○○元整，甲方與乙方於簽約時約定如下：</w:t>
      </w:r>
    </w:p>
    <w:p>
      <w:pPr>
        <w:pStyle w:val="Normal"/>
        <w:spacing w:lineRule="exact" w:line="400"/>
        <w:ind w:left="108" w:right="0" w:firstLine="114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甲方於○○年○○月○○日一次給付於乙方。</w:t>
      </w:r>
    </w:p>
    <w:p>
      <w:pPr>
        <w:pStyle w:val="Normal"/>
        <w:spacing w:lineRule="exact" w:line="400"/>
        <w:ind w:left="1619" w:right="0" w:hanging="359"/>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甲方分期給付，分○○期，每期新臺幣○○○元，自○ ○年○○月○○日起每月○○日前給付乙方。</w:t>
      </w:r>
      <w:r>
        <w:rPr>
          <w:rFonts w:eastAsia="標楷體" w:ascii="標楷體" w:hAnsi="標楷體"/>
          <w:color w:val="000000"/>
          <w:spacing w:val="16"/>
          <w:sz w:val="28"/>
          <w:szCs w:val="28"/>
        </w:rPr>
        <w:tab/>
      </w:r>
    </w:p>
    <w:p>
      <w:pPr>
        <w:pStyle w:val="Normal"/>
        <w:spacing w:lineRule="exact" w:line="400" w:before="180" w:after="0"/>
        <w:ind w:left="126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骨灰（骸）存放單位維護管理之費用，甲方與乙方於簽約時約定如下：</w:t>
      </w:r>
    </w:p>
    <w:p>
      <w:pPr>
        <w:pStyle w:val="Normal"/>
        <w:spacing w:lineRule="exact" w:line="400"/>
        <w:ind w:left="110" w:right="0" w:firstLine="114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一、乙方不收取。</w:t>
      </w:r>
    </w:p>
    <w:p>
      <w:pPr>
        <w:pStyle w:val="Normal"/>
        <w:spacing w:lineRule="exact" w:line="400"/>
        <w:ind w:left="106" w:right="0" w:firstLine="114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二、乙方依下列方式收取費用新臺幣○○○元整：</w:t>
      </w:r>
    </w:p>
    <w:p>
      <w:pPr>
        <w:pStyle w:val="Normal"/>
        <w:spacing w:lineRule="exact" w:line="400"/>
        <w:ind w:left="110" w:right="0" w:firstLine="114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（一）甲方於○○年○○月○○日一次給付乙方。</w:t>
      </w:r>
    </w:p>
    <w:p>
      <w:pPr>
        <w:pStyle w:val="Normal"/>
        <w:spacing w:lineRule="exact" w:line="400"/>
        <w:ind w:left="290" w:right="0" w:firstLine="114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（二）甲方依下列方式分期給付：</w:t>
      </w:r>
    </w:p>
    <w:p>
      <w:pPr>
        <w:pStyle w:val="Normal"/>
        <w:spacing w:lineRule="exact" w:line="400"/>
        <w:ind w:left="2340" w:right="0" w:hanging="54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eastAsia="標楷體" w:ascii="標楷體" w:hAnsi="標楷體"/>
          <w:color w:val="000000"/>
          <w:spacing w:val="16"/>
          <w:sz w:val="28"/>
          <w:szCs w:val="28"/>
        </w:rPr>
        <w:t>1.</w:t>
      </w:r>
      <w:r>
        <w:rPr>
          <w:rFonts w:ascii="標楷體" w:hAnsi="標楷體" w:eastAsia="標楷體"/>
          <w:color w:val="000000"/>
          <w:spacing w:val="16"/>
          <w:sz w:val="28"/>
          <w:szCs w:val="28"/>
        </w:rPr>
        <w:t>自○○年○○月○○日起甲方使用前給付乙方，分○○期，每期○○○元，於每月○○日前給付。</w:t>
      </w:r>
    </w:p>
    <w:p>
      <w:pPr>
        <w:pStyle w:val="Normal"/>
        <w:spacing w:lineRule="exact" w:line="400"/>
        <w:ind w:left="2340" w:right="0" w:hanging="54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eastAsia="標楷體" w:ascii="標楷體" w:hAnsi="標楷體"/>
          <w:color w:val="000000"/>
          <w:spacing w:val="16"/>
          <w:sz w:val="28"/>
          <w:szCs w:val="28"/>
        </w:rPr>
        <w:t>2.</w:t>
      </w:r>
      <w:r>
        <w:rPr>
          <w:rFonts w:ascii="標楷體" w:hAnsi="標楷體" w:eastAsia="標楷體"/>
          <w:color w:val="000000"/>
          <w:spacing w:val="16"/>
          <w:sz w:val="28"/>
          <w:szCs w:val="28"/>
        </w:rPr>
        <w:t>甲方使用後，分○○期，每期○○○元，於每月○○日前給付。</w:t>
      </w:r>
    </w:p>
    <w:p>
      <w:pPr>
        <w:pStyle w:val="Normal"/>
        <w:spacing w:lineRule="exact" w:line="400" w:before="180" w:after="0"/>
        <w:ind w:left="1260" w:right="0" w:hanging="2"/>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甲乙雙方得議定付款方式如下：以□現金□刷卡□其他方式。</w:t>
      </w:r>
    </w:p>
    <w:p>
      <w:pPr>
        <w:pStyle w:val="Normal"/>
        <w:spacing w:lineRule="exact" w:line="400" w:before="180" w:after="0"/>
        <w:ind w:left="0" w:right="0" w:firstLine="114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乙方對甲方所繳納之款項，應開立發票。</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2037" w:right="0" w:hanging="2037"/>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第十三條（使用權證明）</w:t>
      </w:r>
    </w:p>
    <w:p>
      <w:pPr>
        <w:pStyle w:val="Normal"/>
        <w:spacing w:lineRule="exact" w:line="400"/>
        <w:ind w:left="1260" w:right="0" w:hanging="0"/>
        <w:jc w:val="distribute"/>
        <w:rPr/>
      </w:pPr>
      <w:r>
        <w:rPr>
          <w:rFonts w:ascii="標楷體" w:hAnsi="標楷體" w:eastAsia="標楷體"/>
          <w:color w:val="000000"/>
          <w:spacing w:val="16"/>
          <w:sz w:val="28"/>
          <w:szCs w:val="28"/>
        </w:rPr>
        <w:t>乙方應於甲方依約定繳納骨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使用權之價金後，交付使用權證明予甲方。但其價金分期繳納者，於繳納第○○期價金後交付之。</w:t>
      </w:r>
    </w:p>
    <w:p>
      <w:pPr>
        <w:pStyle w:val="Normal"/>
        <w:spacing w:lineRule="exact" w:line="400" w:before="180" w:after="0"/>
        <w:ind w:left="1261" w:right="0" w:hanging="1"/>
        <w:jc w:val="distribute"/>
        <w:rPr/>
      </w:pPr>
      <w:r>
        <w:rPr>
          <w:rFonts w:ascii="標楷體" w:hAnsi="標楷體" w:eastAsia="標楷體"/>
          <w:color w:val="000000"/>
          <w:spacing w:val="16"/>
          <w:sz w:val="28"/>
          <w:szCs w:val="28"/>
        </w:rPr>
        <w:t>前項使用權證明應編號，載明使用權人姓名、國民身分證統一編號；契約標的所在位置及同樓層存放單位總數；使用期間；購買日期及骨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不得擅自更動等有關事項，並由乙方簽名或蓋章。</w:t>
      </w:r>
    </w:p>
    <w:p>
      <w:pPr>
        <w:pStyle w:val="Normal"/>
        <w:spacing w:lineRule="exact" w:line="400" w:before="50" w:after="0"/>
        <w:ind w:left="1256" w:right="0" w:hanging="356"/>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有第十四條、第十五條及證明遺失情形時，甲方得請求乙方補、換發使用權證明，並得約定如下：</w:t>
      </w:r>
    </w:p>
    <w:p>
      <w:pPr>
        <w:pStyle w:val="Normal"/>
        <w:spacing w:lineRule="exact" w:line="400"/>
        <w:ind w:left="648" w:right="0" w:firstLine="608"/>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乙方不予收取手續費用。</w:t>
      </w:r>
    </w:p>
    <w:p>
      <w:pPr>
        <w:pStyle w:val="Normal"/>
        <w:spacing w:lineRule="exact" w:line="400"/>
        <w:ind w:left="1620" w:right="0" w:hanging="362"/>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w:t>
      </w:r>
      <w:r>
        <w:rPr>
          <w:rFonts w:ascii="標楷體" w:hAnsi="標楷體" w:eastAsia="標楷體"/>
          <w:color w:val="000000"/>
          <w:spacing w:val="16"/>
          <w:sz w:val="28"/>
          <w:szCs w:val="28"/>
        </w:rPr>
        <w:t>乙方收取手續費用為新臺幣○○○元（總計不得高於新臺幣壹千元）。</w:t>
      </w:r>
    </w:p>
    <w:p>
      <w:pPr>
        <w:pStyle w:val="Normal"/>
        <w:spacing w:lineRule="exact" w:line="400"/>
        <w:jc w:val="distribute"/>
        <w:rPr/>
      </w:pPr>
      <w:r>
        <w:rPr>
          <w:rFonts w:ascii="標楷體" w:hAnsi="標楷體" w:eastAsia="標楷體"/>
          <w:color w:val="000000"/>
          <w:sz w:val="28"/>
          <w:szCs w:val="28"/>
        </w:rPr>
        <w:t>第十四條（</w:t>
      </w:r>
      <w:r>
        <w:rPr>
          <w:rFonts w:ascii="標楷體" w:hAnsi="標楷體" w:eastAsia="標楷體"/>
          <w:color w:val="000000"/>
          <w:spacing w:val="16"/>
          <w:sz w:val="28"/>
          <w:szCs w:val="28"/>
        </w:rPr>
        <w:t>換位</w:t>
      </w:r>
      <w:r>
        <w:rPr>
          <w:rFonts w:ascii="標楷體" w:hAnsi="標楷體" w:eastAsia="標楷體"/>
          <w:color w:val="000000"/>
          <w:sz w:val="28"/>
          <w:szCs w:val="28"/>
        </w:rPr>
        <w:t>）</w:t>
      </w:r>
    </w:p>
    <w:p>
      <w:pPr>
        <w:pStyle w:val="Normal"/>
        <w:spacing w:lineRule="exact" w:line="400"/>
        <w:ind w:left="1260" w:right="0" w:hanging="0"/>
        <w:jc w:val="distribute"/>
        <w:rPr/>
      </w:pPr>
      <w:r>
        <w:rPr>
          <w:rFonts w:ascii="標楷體" w:hAnsi="標楷體" w:eastAsia="標楷體"/>
          <w:color w:val="000000"/>
          <w:spacing w:val="16"/>
          <w:sz w:val="28"/>
          <w:szCs w:val="28"/>
        </w:rPr>
        <w:t>甲方在使用骨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前，如同一骨</w:t>
      </w:r>
      <w:r>
        <w:rPr>
          <w:rFonts w:ascii="標楷體" w:hAnsi="標楷體" w:eastAsia="標楷體"/>
          <w:color w:val="000000"/>
          <w:sz w:val="28"/>
          <w:szCs w:val="28"/>
        </w:rPr>
        <w:t>灰（骸）存放設施</w:t>
      </w:r>
      <w:r>
        <w:rPr>
          <w:rFonts w:ascii="標楷體" w:hAnsi="標楷體" w:eastAsia="標楷體"/>
          <w:color w:val="000000"/>
          <w:spacing w:val="16"/>
          <w:sz w:val="28"/>
          <w:szCs w:val="28"/>
        </w:rPr>
        <w:t>內仍有空位時，甲方可持本契約或使用權證明向乙方請求換位，如所換之骨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與原等級不同者應退補其差額。</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106" w:right="0" w:hanging="106"/>
        <w:jc w:val="distribute"/>
        <w:rPr/>
      </w:pPr>
      <w:r>
        <w:rPr>
          <w:rFonts w:ascii="標楷體" w:hAnsi="標楷體" w:eastAsia="標楷體"/>
          <w:color w:val="000000"/>
          <w:sz w:val="28"/>
          <w:szCs w:val="28"/>
        </w:rPr>
        <w:t>第十五條（</w:t>
      </w:r>
      <w:r>
        <w:rPr>
          <w:rFonts w:ascii="標楷體" w:hAnsi="標楷體" w:eastAsia="標楷體"/>
          <w:color w:val="000000"/>
          <w:spacing w:val="16"/>
          <w:sz w:val="28"/>
          <w:szCs w:val="28"/>
        </w:rPr>
        <w:t>使用權之轉讓</w:t>
      </w:r>
      <w:r>
        <w:rPr>
          <w:rFonts w:ascii="標楷體" w:hAnsi="標楷體" w:eastAsia="標楷體"/>
          <w:color w:val="000000"/>
          <w:sz w:val="28"/>
          <w:szCs w:val="28"/>
        </w:rPr>
        <w:t>）</w:t>
      </w:r>
    </w:p>
    <w:p>
      <w:pPr>
        <w:pStyle w:val="Normal"/>
        <w:spacing w:lineRule="exact" w:line="400"/>
        <w:ind w:left="1260" w:right="0" w:hanging="2"/>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甲方之使用權得自由轉讓，乙方不得收取任何名義之轉讓權利金。</w:t>
      </w:r>
    </w:p>
    <w:p>
      <w:pPr>
        <w:pStyle w:val="Normal"/>
        <w:spacing w:lineRule="exact" w:line="400" w:before="180" w:after="0"/>
        <w:ind w:left="1258" w:right="0" w:hanging="3"/>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甲方依前項約定轉讓使用權時，由甲方及受讓人持本契約書或使用權證明及其他相關證件，向乙方辦理轉讓過戶手續。</w:t>
      </w:r>
    </w:p>
    <w:p>
      <w:pPr>
        <w:pStyle w:val="Normal"/>
        <w:spacing w:lineRule="exact" w:line="400" w:before="50" w:after="0"/>
        <w:ind w:left="1259" w:right="0" w:hanging="1"/>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本條之受讓人應承受甲方基於本契約所生之一切權利及義務。</w:t>
      </w:r>
    </w:p>
    <w:p>
      <w:pPr>
        <w:pStyle w:val="Normal"/>
        <w:spacing w:lineRule="exact" w:line="400" w:before="50" w:after="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tabs>
          <w:tab w:val="clear" w:pos="480"/>
          <w:tab w:val="left" w:pos="0" w:leader="none"/>
        </w:tabs>
        <w:spacing w:lineRule="exact" w:line="400"/>
        <w:jc w:val="distribute"/>
        <w:rPr/>
      </w:pPr>
      <w:r>
        <w:rPr>
          <w:rFonts w:ascii="標楷體" w:hAnsi="標楷體" w:eastAsia="標楷體"/>
          <w:color w:val="000000"/>
          <w:sz w:val="28"/>
          <w:szCs w:val="28"/>
        </w:rPr>
        <w:t>第十六條（</w:t>
      </w:r>
      <w:r>
        <w:rPr>
          <w:rFonts w:ascii="標楷體" w:hAnsi="標楷體" w:eastAsia="標楷體"/>
          <w:color w:val="000000"/>
          <w:spacing w:val="16"/>
          <w:sz w:val="28"/>
          <w:szCs w:val="28"/>
        </w:rPr>
        <w:t>繼承</w:t>
      </w:r>
      <w:r>
        <w:rPr>
          <w:rFonts w:ascii="標楷體" w:hAnsi="標楷體" w:eastAsia="標楷體"/>
          <w:color w:val="000000"/>
          <w:sz w:val="28"/>
          <w:szCs w:val="28"/>
        </w:rPr>
        <w:t>）</w:t>
      </w:r>
    </w:p>
    <w:p>
      <w:pPr>
        <w:pStyle w:val="Normal"/>
        <w:spacing w:lineRule="exact" w:line="400"/>
        <w:ind w:left="1261" w:right="0" w:hanging="3"/>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甲方發生繼承事實時，由繼承人提示被繼承人除戶戶籍謄本或死亡證明書、繼承協議書及本契約書或使用權證明向乙方辦理過戶登記，該過戶登記免繳手續費。但其他行政規費，不在此限。</w:t>
      </w:r>
    </w:p>
    <w:p>
      <w:pPr>
        <w:pStyle w:val="Normal"/>
        <w:spacing w:lineRule="exact" w:line="400" w:before="180" w:after="0"/>
        <w:ind w:left="0" w:right="0" w:firstLine="1257"/>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甲方繼承人有數人而未達成協議時，依民法規定行之。</w:t>
      </w:r>
    </w:p>
    <w:p>
      <w:pPr>
        <w:pStyle w:val="Normal"/>
        <w:spacing w:lineRule="exact" w:line="400" w:before="120" w:after="0"/>
        <w:ind w:left="1264" w:right="0" w:hanging="6"/>
        <w:jc w:val="distribute"/>
        <w:rPr/>
      </w:pPr>
      <w:r>
        <w:rPr>
          <w:rFonts w:ascii="標楷體" w:hAnsi="標楷體" w:eastAsia="標楷體"/>
          <w:color w:val="000000"/>
          <w:spacing w:val="16"/>
          <w:sz w:val="28"/>
          <w:szCs w:val="28"/>
        </w:rPr>
        <w:t>甲方發生繼承事實，繼承人依第一項辦理過戶登記後，得變更指定使用骨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之人。</w:t>
      </w:r>
    </w:p>
    <w:p>
      <w:pPr>
        <w:pStyle w:val="Normal"/>
        <w:spacing w:lineRule="exact" w:line="400" w:before="120" w:after="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pPr>
      <w:r>
        <w:rPr>
          <w:rFonts w:ascii="標楷體" w:hAnsi="標楷體" w:eastAsia="標楷體"/>
          <w:color w:val="000000"/>
          <w:sz w:val="28"/>
          <w:szCs w:val="28"/>
        </w:rPr>
        <w:t>第十七條（</w:t>
      </w:r>
      <w:r>
        <w:rPr>
          <w:rFonts w:ascii="標楷體" w:hAnsi="標楷體" w:eastAsia="標楷體"/>
          <w:color w:val="000000"/>
          <w:spacing w:val="16"/>
          <w:sz w:val="28"/>
          <w:szCs w:val="28"/>
        </w:rPr>
        <w:t>使用</w:t>
      </w:r>
      <w:r>
        <w:rPr>
          <w:rFonts w:ascii="標楷體" w:hAnsi="標楷體" w:eastAsia="標楷體"/>
          <w:color w:val="000000"/>
          <w:sz w:val="28"/>
          <w:szCs w:val="28"/>
        </w:rPr>
        <w:t>）</w:t>
      </w:r>
    </w:p>
    <w:p>
      <w:pPr>
        <w:pStyle w:val="Normal"/>
        <w:spacing w:lineRule="exact" w:line="400"/>
        <w:ind w:left="1260" w:right="0" w:hanging="0"/>
        <w:jc w:val="distribute"/>
        <w:rPr/>
      </w:pPr>
      <w:r>
        <w:rPr>
          <w:rFonts w:ascii="標楷體" w:hAnsi="標楷體" w:eastAsia="標楷體"/>
          <w:color w:val="000000"/>
          <w:spacing w:val="16"/>
          <w:sz w:val="28"/>
          <w:szCs w:val="28"/>
        </w:rPr>
        <w:t>甲方指定使用人需使用骨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時，應持火化許可證明、起掘許可證明或其他相關證明（國外運回者應附通關證明）及使用權證明向乙方辦理骨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使用手續。</w:t>
      </w:r>
    </w:p>
    <w:p>
      <w:pPr>
        <w:pStyle w:val="Normal"/>
        <w:spacing w:lineRule="exact" w:line="400" w:before="120" w:after="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560" w:right="0" w:hanging="560"/>
        <w:jc w:val="distribute"/>
        <w:rPr>
          <w:rFonts w:ascii="標楷體" w:hAnsi="標楷體" w:eastAsia="標楷體"/>
          <w:color w:val="000000"/>
          <w:sz w:val="28"/>
          <w:szCs w:val="28"/>
        </w:rPr>
      </w:pPr>
      <w:r>
        <w:rPr>
          <w:rFonts w:ascii="標楷體" w:hAnsi="標楷體" w:eastAsia="標楷體"/>
          <w:color w:val="000000"/>
          <w:sz w:val="28"/>
          <w:szCs w:val="28"/>
        </w:rPr>
        <w:t>第十八條（管理費專款專用）</w:t>
      </w:r>
    </w:p>
    <w:p>
      <w:pPr>
        <w:pStyle w:val="Normal"/>
        <w:spacing w:lineRule="exact" w:line="400"/>
        <w:ind w:left="1080" w:right="0" w:hanging="0"/>
        <w:jc w:val="distribute"/>
        <w:rPr/>
      </w:pPr>
      <w:r>
        <w:rPr>
          <w:rFonts w:ascii="標楷體" w:hAnsi="標楷體" w:eastAsia="標楷體"/>
          <w:color w:val="000000"/>
          <w:sz w:val="28"/>
          <w:szCs w:val="28"/>
        </w:rPr>
        <w:t xml:space="preserve"> </w:t>
      </w:r>
      <w:r>
        <w:rPr>
          <w:rFonts w:ascii="標楷體" w:hAnsi="標楷體" w:eastAsia="標楷體"/>
          <w:color w:val="000000"/>
          <w:sz w:val="28"/>
          <w:szCs w:val="28"/>
        </w:rPr>
        <w:t>乙方如收取管理費者，應以管理費設立專戶，專款專用；如不收取管理費者，應由所收總價金提撥百分之○（不得低於百分之十），設立專戶，專款專用。</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前項所稱專用，指供乙方履行第五條、第六條義務及內部行政管理支出使用。</w:t>
      </w:r>
    </w:p>
    <w:p>
      <w:pPr>
        <w:pStyle w:val="Normal"/>
        <w:spacing w:lineRule="exact" w:line="400" w:before="50" w:after="0"/>
        <w:ind w:left="1080" w:right="0" w:hanging="0"/>
        <w:jc w:val="distribute"/>
        <w:rPr/>
      </w:pPr>
      <w:r>
        <w:rPr>
          <w:rFonts w:ascii="標楷體" w:hAnsi="標楷體" w:eastAsia="標楷體"/>
          <w:color w:val="000000"/>
          <w:sz w:val="28"/>
          <w:szCs w:val="28"/>
        </w:rPr>
        <w:t>前項所稱內部行政管理支出，係指專為本</w:t>
      </w:r>
      <w:r>
        <w:rPr>
          <w:rFonts w:ascii="標楷體" w:hAnsi="標楷體" w:eastAsia="標楷體"/>
          <w:color w:val="000000"/>
          <w:spacing w:val="16"/>
          <w:sz w:val="28"/>
          <w:szCs w:val="28"/>
        </w:rPr>
        <w:t>骨</w:t>
      </w:r>
      <w:r>
        <w:rPr>
          <w:rFonts w:ascii="標楷體" w:hAnsi="標楷體" w:eastAsia="標楷體"/>
          <w:color w:val="000000"/>
          <w:sz w:val="28"/>
          <w:szCs w:val="28"/>
        </w:rPr>
        <w:t>灰（骸）存放設施內部行政管理所為支出，範圍如下：</w:t>
      </w:r>
    </w:p>
    <w:p>
      <w:pPr>
        <w:pStyle w:val="Normal"/>
        <w:numPr>
          <w:ilvl w:val="0"/>
          <w:numId w:val="4"/>
        </w:numPr>
        <w:tabs>
          <w:tab w:val="clear" w:pos="480"/>
          <w:tab w:val="left" w:pos="1010" w:leader="none"/>
        </w:tabs>
        <w:spacing w:lineRule="exact" w:line="400"/>
        <w:ind w:left="1010" w:hanging="720"/>
        <w:jc w:val="distribute"/>
        <w:rPr>
          <w:rFonts w:ascii="標楷體" w:hAnsi="標楷體" w:eastAsia="標楷體"/>
          <w:color w:val="000000"/>
          <w:sz w:val="28"/>
          <w:szCs w:val="28"/>
        </w:rPr>
      </w:pPr>
      <w:r>
        <w:rPr>
          <w:rFonts w:ascii="標楷體" w:hAnsi="標楷體" w:eastAsia="標楷體"/>
          <w:color w:val="000000"/>
          <w:sz w:val="28"/>
          <w:szCs w:val="28"/>
        </w:rPr>
        <w:t>管理設施之人事費用。</w:t>
      </w:r>
    </w:p>
    <w:p>
      <w:pPr>
        <w:pStyle w:val="Normal"/>
        <w:numPr>
          <w:ilvl w:val="0"/>
          <w:numId w:val="4"/>
        </w:numPr>
        <w:tabs>
          <w:tab w:val="clear" w:pos="480"/>
          <w:tab w:val="left" w:pos="1010" w:leader="none"/>
        </w:tabs>
        <w:spacing w:lineRule="exact" w:line="400"/>
        <w:ind w:left="1010" w:hanging="720"/>
        <w:jc w:val="distribute"/>
        <w:rPr>
          <w:rFonts w:ascii="標楷體" w:hAnsi="標楷體" w:eastAsia="標楷體"/>
          <w:color w:val="000000"/>
          <w:sz w:val="28"/>
          <w:szCs w:val="28"/>
        </w:rPr>
      </w:pPr>
      <w:r>
        <w:rPr>
          <w:rFonts w:ascii="標楷體" w:hAnsi="標楷體" w:eastAsia="標楷體"/>
          <w:color w:val="000000"/>
          <w:sz w:val="28"/>
          <w:szCs w:val="28"/>
        </w:rPr>
        <w:t>公共使用之水電費。</w:t>
      </w:r>
    </w:p>
    <w:p>
      <w:pPr>
        <w:pStyle w:val="Normal"/>
        <w:numPr>
          <w:ilvl w:val="0"/>
          <w:numId w:val="4"/>
        </w:numPr>
        <w:tabs>
          <w:tab w:val="clear" w:pos="480"/>
          <w:tab w:val="left" w:pos="1010" w:leader="none"/>
        </w:tabs>
        <w:spacing w:lineRule="exact" w:line="400"/>
        <w:ind w:left="1010" w:hanging="720"/>
        <w:jc w:val="distribute"/>
        <w:rPr>
          <w:rFonts w:ascii="標楷體" w:hAnsi="標楷體" w:eastAsia="標楷體"/>
          <w:color w:val="000000"/>
          <w:sz w:val="28"/>
          <w:szCs w:val="28"/>
        </w:rPr>
      </w:pPr>
      <w:r>
        <w:rPr>
          <w:rFonts w:ascii="標楷體" w:hAnsi="標楷體" w:eastAsia="標楷體"/>
          <w:color w:val="000000"/>
          <w:sz w:val="28"/>
          <w:szCs w:val="28"/>
        </w:rPr>
        <w:t>管理費專戶交付會計師查核簽證之費用。</w:t>
      </w:r>
    </w:p>
    <w:p>
      <w:pPr>
        <w:pStyle w:val="Normal"/>
        <w:spacing w:lineRule="exact" w:line="400"/>
        <w:jc w:val="distribute"/>
        <w:rPr>
          <w:rFonts w:ascii="標楷體" w:hAnsi="標楷體" w:eastAsia="標楷體"/>
          <w:color w:val="000000"/>
          <w:sz w:val="28"/>
          <w:szCs w:val="28"/>
        </w:rPr>
      </w:pPr>
      <w:r>
        <w:rPr>
          <w:rFonts w:eastAsia="標楷體" w:ascii="標楷體" w:hAnsi="標楷體"/>
          <w:color w:val="000000"/>
          <w:sz w:val="28"/>
          <w:szCs w:val="28"/>
        </w:rPr>
      </w:r>
    </w:p>
    <w:p>
      <w:pPr>
        <w:pStyle w:val="Normal"/>
        <w:spacing w:lineRule="exact" w:line="400"/>
        <w:ind w:left="840" w:right="0" w:hanging="840"/>
        <w:jc w:val="distribute"/>
        <w:rPr>
          <w:rFonts w:ascii="標楷體" w:hAnsi="標楷體" w:eastAsia="標楷體"/>
          <w:color w:val="000000"/>
          <w:sz w:val="28"/>
          <w:szCs w:val="28"/>
        </w:rPr>
      </w:pPr>
      <w:r>
        <w:rPr>
          <w:rFonts w:ascii="標楷體" w:hAnsi="標楷體" w:eastAsia="標楷體"/>
          <w:color w:val="000000"/>
          <w:sz w:val="28"/>
          <w:szCs w:val="28"/>
        </w:rPr>
        <w:t>第十九條（資訊公開）</w:t>
      </w:r>
    </w:p>
    <w:p>
      <w:pPr>
        <w:pStyle w:val="Normal"/>
        <w:spacing w:lineRule="exact" w:line="40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乙方應設置專簿，就殯葬設施之管理維護分別載明收支運用情形，並於每季結束後二十日內更新資料，存放於本設施之服務中心，提供甲方查閱。</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第二十條（依法提撥費用）</w:t>
      </w:r>
    </w:p>
    <w:p>
      <w:pPr>
        <w:pStyle w:val="Normal"/>
        <w:spacing w:lineRule="exact" w:line="400"/>
        <w:ind w:left="1080" w:right="0" w:hanging="18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乙方應依殯葬管理條例及相關自治條例提撥支應重大事故發生或經營不善致無法正常營運時修護、管理等之費用。</w:t>
      </w:r>
    </w:p>
    <w:p>
      <w:pPr>
        <w:pStyle w:val="Normal"/>
        <w:spacing w:lineRule="exact" w:line="400"/>
        <w:ind w:left="1260" w:right="0" w:hanging="2"/>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pPr>
      <w:r>
        <w:rPr>
          <w:rFonts w:ascii="標楷體" w:hAnsi="標楷體" w:eastAsia="標楷體"/>
          <w:color w:val="000000"/>
          <w:sz w:val="28"/>
          <w:szCs w:val="28"/>
        </w:rPr>
        <w:t>第二十一條（</w:t>
      </w:r>
      <w:r>
        <w:rPr>
          <w:rFonts w:ascii="標楷體" w:hAnsi="標楷體" w:eastAsia="標楷體"/>
          <w:color w:val="000000"/>
          <w:spacing w:val="16"/>
          <w:sz w:val="28"/>
          <w:szCs w:val="28"/>
        </w:rPr>
        <w:t>契約之解除及退款比例</w:t>
      </w:r>
      <w:r>
        <w:rPr>
          <w:rFonts w:ascii="標楷體" w:hAnsi="標楷體" w:eastAsia="標楷體"/>
          <w:color w:val="000000"/>
          <w:sz w:val="28"/>
          <w:szCs w:val="28"/>
        </w:rPr>
        <w:t>）</w:t>
      </w:r>
    </w:p>
    <w:p>
      <w:pPr>
        <w:pStyle w:val="Normal"/>
        <w:spacing w:lineRule="exact" w:line="400"/>
        <w:ind w:left="1078" w:right="0" w:hanging="0"/>
        <w:jc w:val="distribute"/>
        <w:rPr/>
      </w:pPr>
      <w:r>
        <w:rPr>
          <w:rFonts w:ascii="標楷體" w:hAnsi="標楷體" w:eastAsia="標楷體"/>
          <w:color w:val="000000"/>
          <w:sz w:val="28"/>
          <w:szCs w:val="28"/>
        </w:rPr>
        <w:t>甲方如</w:t>
      </w:r>
      <w:r>
        <w:rPr>
          <w:rFonts w:ascii="標楷體" w:hAnsi="標楷體" w:eastAsia="標楷體"/>
          <w:color w:val="000000"/>
          <w:spacing w:val="16"/>
          <w:sz w:val="28"/>
          <w:szCs w:val="28"/>
        </w:rPr>
        <w:t>未使用骨</w:t>
      </w:r>
      <w:r>
        <w:rPr>
          <w:rFonts w:ascii="標楷體" w:hAnsi="標楷體" w:eastAsia="標楷體"/>
          <w:color w:val="000000"/>
          <w:sz w:val="28"/>
          <w:szCs w:val="28"/>
        </w:rPr>
        <w:t>灰（骸）存放單位時，得以書面向乙方解除契約，乙方應於契約解除日起</w:t>
      </w:r>
      <w:r>
        <w:rPr>
          <w:rFonts w:ascii="標楷體" w:hAnsi="標楷體" w:eastAsia="標楷體"/>
          <w:color w:val="000000"/>
          <w:spacing w:val="16"/>
          <w:sz w:val="28"/>
          <w:szCs w:val="28"/>
        </w:rPr>
        <w:t>○○</w:t>
      </w:r>
      <w:r>
        <w:rPr>
          <w:rFonts w:ascii="標楷體" w:hAnsi="標楷體" w:eastAsia="標楷體"/>
          <w:color w:val="000000"/>
          <w:sz w:val="28"/>
          <w:szCs w:val="28"/>
        </w:rPr>
        <w:t>日（最長不得超過三十日）內，依下列約定辦理：</w:t>
      </w:r>
    </w:p>
    <w:p>
      <w:pPr>
        <w:pStyle w:val="Normal"/>
        <w:numPr>
          <w:ilvl w:val="0"/>
          <w:numId w:val="10"/>
        </w:numPr>
        <w:tabs>
          <w:tab w:val="clear" w:pos="480"/>
          <w:tab w:val="left" w:pos="1560" w:leader="none"/>
        </w:tabs>
        <w:spacing w:lineRule="exact" w:line="400"/>
        <w:ind w:left="1560" w:hanging="480"/>
        <w:jc w:val="distribute"/>
        <w:rPr>
          <w:rFonts w:ascii="標楷體" w:hAnsi="標楷體" w:eastAsia="標楷體"/>
          <w:color w:val="000000"/>
          <w:sz w:val="28"/>
          <w:szCs w:val="28"/>
        </w:rPr>
      </w:pPr>
      <w:r>
        <w:rPr>
          <w:rFonts w:ascii="標楷體" w:hAnsi="標楷體" w:eastAsia="標楷體"/>
          <w:color w:val="000000"/>
          <w:sz w:val="28"/>
          <w:szCs w:val="28"/>
        </w:rPr>
        <w:t>甲方於本契約簽訂之日起十四日以內解除契約者，退還已繳付之全部價金。</w:t>
      </w:r>
    </w:p>
    <w:p>
      <w:pPr>
        <w:pStyle w:val="Normal"/>
        <w:numPr>
          <w:ilvl w:val="0"/>
          <w:numId w:val="10"/>
        </w:numPr>
        <w:tabs>
          <w:tab w:val="clear" w:pos="480"/>
          <w:tab w:val="left" w:pos="1560" w:leader="none"/>
        </w:tabs>
        <w:spacing w:lineRule="exact" w:line="400"/>
        <w:ind w:left="1560" w:hanging="480"/>
        <w:jc w:val="distribute"/>
        <w:rPr/>
      </w:pPr>
      <w:r>
        <w:rPr>
          <w:rFonts w:ascii="標楷體" w:hAnsi="標楷體" w:eastAsia="標楷體"/>
          <w:color w:val="000000"/>
          <w:sz w:val="28"/>
          <w:szCs w:val="28"/>
        </w:rPr>
        <w:t>甲方於本契約簽訂之日起超過十四日至三個月以內解除契約者，乙方沒收之已付價</w:t>
      </w:r>
      <w:r>
        <w:rPr>
          <w:rFonts w:ascii="標楷體" w:hAnsi="標楷體" w:eastAsia="標楷體"/>
          <w:color w:val="000000"/>
          <w:spacing w:val="16"/>
          <w:sz w:val="28"/>
          <w:szCs w:val="28"/>
        </w:rPr>
        <w:t>金</w:t>
      </w:r>
      <w:r>
        <w:rPr>
          <w:rFonts w:ascii="標楷體" w:hAnsi="標楷體" w:eastAsia="標楷體"/>
          <w:color w:val="000000"/>
          <w:sz w:val="28"/>
          <w:szCs w:val="28"/>
        </w:rPr>
        <w:t>不得超過總價金百分之十。</w:t>
      </w:r>
    </w:p>
    <w:p>
      <w:pPr>
        <w:pStyle w:val="Normal"/>
        <w:numPr>
          <w:ilvl w:val="0"/>
          <w:numId w:val="10"/>
        </w:numPr>
        <w:tabs>
          <w:tab w:val="clear" w:pos="480"/>
          <w:tab w:val="left" w:pos="1560" w:leader="none"/>
        </w:tabs>
        <w:spacing w:lineRule="exact" w:line="400"/>
        <w:ind w:left="1560" w:hanging="480"/>
        <w:jc w:val="distribute"/>
        <w:rPr/>
      </w:pPr>
      <w:r>
        <w:rPr>
          <w:rFonts w:ascii="標楷體" w:hAnsi="標楷體" w:eastAsia="標楷體"/>
          <w:color w:val="000000"/>
          <w:sz w:val="28"/>
          <w:szCs w:val="28"/>
        </w:rPr>
        <w:t>甲方於本契約簽訂之日起超過三個月至一年以內解除契約者，乙方沒收之已付價</w:t>
      </w:r>
      <w:r>
        <w:rPr>
          <w:rFonts w:ascii="標楷體" w:hAnsi="標楷體" w:eastAsia="標楷體"/>
          <w:color w:val="000000"/>
          <w:spacing w:val="16"/>
          <w:sz w:val="28"/>
          <w:szCs w:val="28"/>
        </w:rPr>
        <w:t>金</w:t>
      </w:r>
      <w:r>
        <w:rPr>
          <w:rFonts w:ascii="標楷體" w:hAnsi="標楷體" w:eastAsia="標楷體"/>
          <w:color w:val="000000"/>
          <w:sz w:val="28"/>
          <w:szCs w:val="28"/>
        </w:rPr>
        <w:t>不得超過總價金百分之二十。</w:t>
      </w:r>
    </w:p>
    <w:p>
      <w:pPr>
        <w:pStyle w:val="Normal"/>
        <w:numPr>
          <w:ilvl w:val="0"/>
          <w:numId w:val="10"/>
        </w:numPr>
        <w:tabs>
          <w:tab w:val="clear" w:pos="480"/>
          <w:tab w:val="left" w:pos="1560" w:leader="none"/>
        </w:tabs>
        <w:spacing w:lineRule="exact" w:line="400"/>
        <w:ind w:left="1560" w:hanging="480"/>
        <w:jc w:val="distribute"/>
        <w:rPr/>
      </w:pPr>
      <w:r>
        <w:rPr>
          <w:rFonts w:ascii="標楷體" w:hAnsi="標楷體" w:eastAsia="標楷體"/>
          <w:color w:val="000000"/>
          <w:sz w:val="28"/>
          <w:szCs w:val="28"/>
        </w:rPr>
        <w:t>甲方於本契約簽訂之日起超過一年至三年以內解除契約者，乙方沒收之已付價</w:t>
      </w:r>
      <w:r>
        <w:rPr>
          <w:rFonts w:ascii="標楷體" w:hAnsi="標楷體" w:eastAsia="標楷體"/>
          <w:color w:val="000000"/>
          <w:spacing w:val="16"/>
          <w:sz w:val="28"/>
          <w:szCs w:val="28"/>
        </w:rPr>
        <w:t>金</w:t>
      </w:r>
      <w:r>
        <w:rPr>
          <w:rFonts w:ascii="標楷體" w:hAnsi="標楷體" w:eastAsia="標楷體"/>
          <w:color w:val="000000"/>
          <w:sz w:val="28"/>
          <w:szCs w:val="28"/>
        </w:rPr>
        <w:t>不得超過總價金百分之三十。</w:t>
      </w:r>
    </w:p>
    <w:p>
      <w:pPr>
        <w:pStyle w:val="Normal"/>
        <w:numPr>
          <w:ilvl w:val="0"/>
          <w:numId w:val="10"/>
        </w:numPr>
        <w:tabs>
          <w:tab w:val="clear" w:pos="480"/>
          <w:tab w:val="left" w:pos="1560" w:leader="none"/>
        </w:tabs>
        <w:spacing w:lineRule="exact" w:line="400"/>
        <w:ind w:left="1560" w:hanging="480"/>
        <w:jc w:val="distribute"/>
        <w:rPr/>
      </w:pPr>
      <w:r>
        <w:rPr>
          <w:rFonts w:ascii="標楷體" w:hAnsi="標楷體" w:eastAsia="標楷體"/>
          <w:color w:val="000000"/>
          <w:sz w:val="28"/>
          <w:szCs w:val="28"/>
        </w:rPr>
        <w:t>甲方於本契約簽訂之日起超過三年後解除契約者，乙方沒收之已付價</w:t>
      </w:r>
      <w:r>
        <w:rPr>
          <w:rFonts w:ascii="標楷體" w:hAnsi="標楷體" w:eastAsia="標楷體"/>
          <w:color w:val="000000"/>
          <w:spacing w:val="16"/>
          <w:sz w:val="28"/>
          <w:szCs w:val="28"/>
        </w:rPr>
        <w:t>金</w:t>
      </w:r>
      <w:r>
        <w:rPr>
          <w:rFonts w:ascii="標楷體" w:hAnsi="標楷體" w:eastAsia="標楷體"/>
          <w:color w:val="000000"/>
          <w:sz w:val="28"/>
          <w:szCs w:val="28"/>
        </w:rPr>
        <w:t>不得超過總價金百分之四十。</w:t>
      </w:r>
    </w:p>
    <w:p>
      <w:pPr>
        <w:pStyle w:val="Normal"/>
        <w:spacing w:lineRule="exact" w:line="400" w:before="180" w:after="0"/>
        <w:ind w:left="1078" w:right="0" w:hanging="0"/>
        <w:jc w:val="distribute"/>
        <w:rPr>
          <w:rFonts w:ascii="標楷體" w:hAnsi="標楷體" w:eastAsia="標楷體"/>
          <w:color w:val="000000"/>
          <w:sz w:val="28"/>
          <w:szCs w:val="28"/>
        </w:rPr>
      </w:pPr>
      <w:r>
        <w:rPr>
          <w:rFonts w:ascii="標楷體" w:hAnsi="標楷體" w:eastAsia="標楷體"/>
          <w:color w:val="000000"/>
          <w:sz w:val="28"/>
          <w:szCs w:val="28"/>
        </w:rPr>
        <w:t>甲方依前項約定解除契約時，乙方並應按前項各款所定期間及退款比例，退還甲方已繳納之管理費。</w:t>
      </w:r>
    </w:p>
    <w:p>
      <w:pPr>
        <w:pStyle w:val="Normal"/>
        <w:spacing w:lineRule="exact" w:line="400" w:before="180" w:after="0"/>
        <w:jc w:val="distribute"/>
        <w:rPr>
          <w:rFonts w:ascii="標楷體" w:hAnsi="標楷體" w:eastAsia="標楷體"/>
          <w:color w:val="000000"/>
          <w:sz w:val="28"/>
          <w:szCs w:val="28"/>
        </w:rPr>
      </w:pPr>
      <w:r>
        <w:rPr>
          <w:rFonts w:eastAsia="標楷體" w:ascii="標楷體" w:hAnsi="標楷體"/>
          <w:color w:val="000000"/>
          <w:sz w:val="28"/>
          <w:szCs w:val="28"/>
        </w:rPr>
      </w:r>
    </w:p>
    <w:p>
      <w:pPr>
        <w:pStyle w:val="Normal"/>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第二十二條（契約之終止及退款）</w:t>
      </w:r>
    </w:p>
    <w:p>
      <w:pPr>
        <w:pStyle w:val="Normal"/>
        <w:spacing w:lineRule="exact" w:line="400"/>
        <w:ind w:left="1080" w:right="0" w:hanging="2"/>
        <w:jc w:val="distribute"/>
        <w:rPr/>
      </w:pPr>
      <w:r>
        <w:rPr>
          <w:rFonts w:ascii="標楷體" w:hAnsi="標楷體" w:eastAsia="標楷體"/>
          <w:color w:val="000000"/>
          <w:sz w:val="28"/>
          <w:szCs w:val="28"/>
        </w:rPr>
        <w:t>乙方無法提供約定之骨灰（骸）存放單位，或骨灰（骸）存放設施經主管機關查核認定有</w:t>
      </w:r>
      <w:r>
        <w:rPr>
          <w:rFonts w:ascii="標楷體" w:hAnsi="標楷體" w:eastAsia="標楷體"/>
          <w:color w:val="000000"/>
          <w:spacing w:val="16"/>
          <w:sz w:val="28"/>
          <w:szCs w:val="28"/>
        </w:rPr>
        <w:t>重大事故發生或經營不善致無法正常營運之情形時</w:t>
      </w:r>
      <w:r>
        <w:rPr>
          <w:rFonts w:ascii="標楷體" w:hAnsi="標楷體" w:eastAsia="標楷體"/>
          <w:color w:val="000000"/>
          <w:sz w:val="28"/>
          <w:szCs w:val="28"/>
        </w:rPr>
        <w:t>，甲方得選擇換位或終止契約，如甲方選擇終止契約，乙方應於契約終止日起○○日（最長不得逾十四日）內退還甲方已繳付之全部價金及</w:t>
      </w:r>
      <w:r>
        <w:rPr>
          <w:rFonts w:ascii="標楷體" w:hAnsi="標楷體" w:eastAsia="標楷體"/>
          <w:color w:val="000000"/>
          <w:spacing w:val="16"/>
          <w:sz w:val="28"/>
          <w:szCs w:val="28"/>
        </w:rPr>
        <w:t>按比例退還已繳納之管理費</w:t>
      </w:r>
      <w:r>
        <w:rPr>
          <w:rFonts w:ascii="標楷體" w:hAnsi="標楷體" w:eastAsia="標楷體"/>
          <w:color w:val="000000"/>
          <w:sz w:val="28"/>
          <w:szCs w:val="28"/>
        </w:rPr>
        <w:t>。</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乙方依第二十一條及前項約定退款而逾期未退還甲方時，應加計遲延利息○○○○（每日利率不得低於萬分之一）。</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甲方係基於多層次傳銷參加人身分與乙方簽訂本契約時，契約之解除、終止及退款依公平交易法第二十三條之一至第二十三條之三規定辦理。</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本契約以郵購或訪問買賣之方式成立者，適用消費者保護法有關之規定。</w:t>
      </w:r>
    </w:p>
    <w:p>
      <w:pPr>
        <w:pStyle w:val="Normal"/>
        <w:spacing w:lineRule="exact" w:line="400"/>
        <w:jc w:val="distribute"/>
        <w:rPr>
          <w:rFonts w:ascii="標楷體" w:hAnsi="標楷體" w:eastAsia="標楷體"/>
          <w:color w:val="000000"/>
          <w:sz w:val="28"/>
          <w:szCs w:val="28"/>
        </w:rPr>
      </w:pPr>
      <w:r>
        <w:rPr>
          <w:rFonts w:eastAsia="標楷體" w:ascii="標楷體" w:hAnsi="標楷體"/>
          <w:color w:val="000000"/>
          <w:sz w:val="28"/>
          <w:szCs w:val="28"/>
        </w:rPr>
      </w:r>
    </w:p>
    <w:p>
      <w:pPr>
        <w:pStyle w:val="Normal"/>
        <w:spacing w:lineRule="exact" w:line="400"/>
        <w:ind w:left="22" w:right="0" w:hanging="22"/>
        <w:jc w:val="distribute"/>
        <w:rPr>
          <w:rFonts w:ascii="標楷體" w:hAnsi="標楷體" w:eastAsia="標楷體"/>
          <w:color w:val="000000"/>
          <w:sz w:val="28"/>
          <w:szCs w:val="28"/>
        </w:rPr>
      </w:pPr>
      <w:r>
        <w:rPr>
          <w:rFonts w:ascii="標楷體" w:hAnsi="標楷體" w:eastAsia="標楷體"/>
          <w:color w:val="000000"/>
          <w:sz w:val="28"/>
          <w:szCs w:val="28"/>
        </w:rPr>
        <w:t>第二十三條（遲延繳款之處理）</w:t>
      </w:r>
    </w:p>
    <w:p>
      <w:pPr>
        <w:pStyle w:val="Normal"/>
        <w:spacing w:lineRule="exact" w:line="40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甲方應依約按時繳款，因故遲延付款或未繳款時，乙方同意給予甲方○○日（不得少於五個營業日）之繳款寬限期，逾期付款或未繳款連續達二期以上者並得對甲方進行催告。</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乙方自前項催告期限屆滿翌日起得加收遲延利息○○○○（每日利率不得逾萬分之一），但最高不得超過應繳金額萬分之六十。</w:t>
      </w:r>
    </w:p>
    <w:p>
      <w:pPr>
        <w:pStyle w:val="Normal"/>
        <w:spacing w:lineRule="exact" w:line="400" w:before="180" w:after="0"/>
        <w:jc w:val="distribute"/>
        <w:rPr>
          <w:rFonts w:ascii="標楷體" w:hAnsi="標楷體" w:eastAsia="標楷體"/>
          <w:color w:val="000000"/>
          <w:sz w:val="28"/>
          <w:szCs w:val="28"/>
        </w:rPr>
      </w:pPr>
      <w:r>
        <w:rPr>
          <w:rFonts w:eastAsia="標楷體" w:ascii="標楷體" w:hAnsi="標楷體"/>
          <w:color w:val="000000"/>
          <w:sz w:val="28"/>
          <w:szCs w:val="28"/>
        </w:rPr>
      </w:r>
    </w:p>
    <w:p>
      <w:pPr>
        <w:pStyle w:val="Normal"/>
        <w:spacing w:lineRule="exact" w:line="400"/>
        <w:jc w:val="distribute"/>
        <w:rPr/>
      </w:pPr>
      <w:r>
        <w:rPr>
          <w:rFonts w:ascii="標楷體" w:hAnsi="標楷體" w:eastAsia="標楷體"/>
          <w:color w:val="000000"/>
          <w:sz w:val="28"/>
          <w:szCs w:val="28"/>
        </w:rPr>
        <w:t>第二十四條（乙方</w:t>
      </w:r>
      <w:r>
        <w:rPr>
          <w:rFonts w:ascii="標楷體" w:hAnsi="標楷體" w:eastAsia="標楷體"/>
          <w:color w:val="000000"/>
          <w:spacing w:val="16"/>
          <w:sz w:val="28"/>
          <w:szCs w:val="28"/>
        </w:rPr>
        <w:t>違約之處理</w:t>
      </w:r>
      <w:r>
        <w:rPr>
          <w:rFonts w:ascii="標楷體" w:hAnsi="標楷體" w:eastAsia="標楷體"/>
          <w:color w:val="000000"/>
          <w:sz w:val="28"/>
          <w:szCs w:val="28"/>
        </w:rPr>
        <w:t>）</w:t>
      </w:r>
    </w:p>
    <w:p>
      <w:pPr>
        <w:pStyle w:val="Normal"/>
        <w:spacing w:lineRule="exact" w:line="400"/>
        <w:ind w:left="1078" w:right="0" w:hanging="178"/>
        <w:jc w:val="distribute"/>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乙方違反第八條之約定擅自增加、變更或移動骨</w:t>
      </w:r>
      <w:r>
        <w:rPr>
          <w:rFonts w:ascii="標楷體" w:hAnsi="標楷體" w:eastAsia="標楷體"/>
          <w:color w:val="000000"/>
          <w:sz w:val="28"/>
          <w:szCs w:val="28"/>
        </w:rPr>
        <w:t>灰（骸）存放單位</w:t>
      </w:r>
      <w:r>
        <w:rPr>
          <w:rFonts w:ascii="標楷體" w:hAnsi="標楷體" w:eastAsia="標楷體"/>
          <w:color w:val="000000"/>
          <w:spacing w:val="16"/>
          <w:sz w:val="28"/>
          <w:szCs w:val="28"/>
        </w:rPr>
        <w:t>時，甲方得通知乙方於○○日（最長不得逾三十日）內回復原狀，逾期仍未回復原狀，甲方得終止契約，並請求乙方加倍退還所有價金及按比例退還已繳納之管理費。</w:t>
      </w:r>
    </w:p>
    <w:p>
      <w:pPr>
        <w:pStyle w:val="Normal"/>
        <w:spacing w:lineRule="exact" w:line="400" w:before="18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違反第三條第四項或第五項、第五條或第六條各款之義務，甲方得通知乙方於○○日（最長不得逾七日）內改善，逾期未改善者，甲方得請求免除違約期間之管理費；經甲方再通知乙方於○○日（最長不得逾七日）內改善，逾期仍未改善者，甲方得終止契約，並請求乙方加倍退還價金及按比例退還已繳納之管理費。</w:t>
      </w:r>
    </w:p>
    <w:p>
      <w:pPr>
        <w:pStyle w:val="Normal"/>
        <w:spacing w:lineRule="exact" w:line="400" w:before="180" w:after="0"/>
        <w:ind w:left="1080" w:right="0" w:hanging="0"/>
        <w:jc w:val="distribute"/>
        <w:rPr/>
      </w:pPr>
      <w:r>
        <w:rPr>
          <w:rFonts w:ascii="標楷體" w:hAnsi="標楷體" w:eastAsia="標楷體"/>
          <w:color w:val="000000"/>
          <w:spacing w:val="16"/>
          <w:sz w:val="28"/>
          <w:szCs w:val="28"/>
        </w:rPr>
        <w:t>乙方違反第二十二條第一項約定，</w:t>
      </w:r>
      <w:r>
        <w:rPr>
          <w:rFonts w:ascii="標楷體" w:hAnsi="標楷體" w:eastAsia="標楷體"/>
          <w:color w:val="000000"/>
          <w:sz w:val="28"/>
          <w:szCs w:val="28"/>
        </w:rPr>
        <w:t>無法提供約定之骨灰（骸）存放單位時，甲方得向乙方請求價金及管理費總額三倍之懲罰性賠償。但乙方能證明事由之發生非可歸責於乙方者，不在此限。</w:t>
      </w:r>
    </w:p>
    <w:p>
      <w:pPr>
        <w:pStyle w:val="Normal"/>
        <w:spacing w:lineRule="exact" w:line="400"/>
        <w:jc w:val="distribute"/>
        <w:rPr>
          <w:rFonts w:ascii="標楷體" w:hAnsi="標楷體" w:eastAsia="標楷體"/>
          <w:color w:val="000000"/>
          <w:sz w:val="28"/>
          <w:szCs w:val="28"/>
        </w:rPr>
      </w:pPr>
      <w:r>
        <w:rPr>
          <w:rFonts w:eastAsia="標楷體" w:ascii="標楷體" w:hAnsi="標楷體"/>
          <w:color w:val="000000"/>
          <w:sz w:val="28"/>
          <w:szCs w:val="28"/>
        </w:rPr>
      </w:r>
    </w:p>
    <w:p>
      <w:pPr>
        <w:pStyle w:val="Normal"/>
        <w:spacing w:lineRule="exact" w:line="40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第二十五條（甲方違約之處理） </w:t>
      </w:r>
    </w:p>
    <w:p>
      <w:pPr>
        <w:pStyle w:val="Normal"/>
        <w:spacing w:lineRule="exact" w:line="40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甲方違反第十條之約定，乙方得予勸阻、制止或為其他必要之處置。</w:t>
      </w:r>
    </w:p>
    <w:p>
      <w:pPr>
        <w:pStyle w:val="Normal"/>
        <w:spacing w:lineRule="exact" w:line="400" w:before="18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甲方違反第十二條約定，未如期給付價金時，逾期付款達四個月，逾期未繳款達總價金之○○○，乙方得定相當期限催告甲方繳交，如甲方仍未於期限內繳交時，乙方得解除本契約，並沒收已繳之價金及管理費，作為損害賠償。</w:t>
      </w:r>
    </w:p>
    <w:p>
      <w:pPr>
        <w:pStyle w:val="Normal"/>
        <w:spacing w:lineRule="exact" w:line="400" w:before="50" w:after="0"/>
        <w:ind w:left="1080" w:right="0" w:hanging="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乙方依前項情形解除本契約者，其得沒收甲方已繳之價金及管理費，依下列約定辦理；超過部分，應於解除契約七日內退還甲方：</w:t>
      </w:r>
    </w:p>
    <w:p>
      <w:pPr>
        <w:pStyle w:val="Normal"/>
        <w:numPr>
          <w:ilvl w:val="0"/>
          <w:numId w:val="5"/>
        </w:numPr>
        <w:tabs>
          <w:tab w:val="clear" w:pos="480"/>
          <w:tab w:val="left" w:pos="720" w:leader="none"/>
        </w:tabs>
        <w:spacing w:lineRule="exact" w:line="400"/>
        <w:ind w:left="72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乙方於本契約簽訂之日起超過四個月至一年以內解除契約者，得沒收甲方已繳之價金及管理費不得超過總價金及管理費總和百分之二十。</w:t>
      </w:r>
    </w:p>
    <w:p>
      <w:pPr>
        <w:pStyle w:val="Normal"/>
        <w:numPr>
          <w:ilvl w:val="0"/>
          <w:numId w:val="5"/>
        </w:numPr>
        <w:tabs>
          <w:tab w:val="clear" w:pos="480"/>
          <w:tab w:val="left" w:pos="720" w:leader="none"/>
        </w:tabs>
        <w:spacing w:lineRule="exact" w:line="400"/>
        <w:ind w:left="72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乙方於本契約簽訂之日起超過一年至三年以內解除契約者，得沒收甲方已繳之價金及管理費不得超過總價金及管理費總和百分之三十。</w:t>
      </w:r>
    </w:p>
    <w:p>
      <w:pPr>
        <w:pStyle w:val="Normal"/>
        <w:numPr>
          <w:ilvl w:val="0"/>
          <w:numId w:val="5"/>
        </w:numPr>
        <w:tabs>
          <w:tab w:val="clear" w:pos="480"/>
          <w:tab w:val="left" w:pos="720" w:leader="none"/>
        </w:tabs>
        <w:spacing w:lineRule="exact" w:line="400"/>
        <w:ind w:left="720" w:hanging="72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乙方於本契約簽訂之日起超過三年後解除契約者，得沒收甲方已繳之價金及管理費不得超過總價金及管理費總和百分之四十。</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pPr>
      <w:r>
        <w:rPr>
          <w:rFonts w:ascii="標楷體" w:hAnsi="標楷體" w:eastAsia="標楷體"/>
          <w:color w:val="000000"/>
          <w:sz w:val="28"/>
          <w:szCs w:val="28"/>
        </w:rPr>
        <w:t>第二十六條（</w:t>
      </w:r>
      <w:r>
        <w:rPr>
          <w:rFonts w:ascii="標楷體" w:hAnsi="標楷體" w:eastAsia="標楷體"/>
          <w:color w:val="000000"/>
          <w:spacing w:val="16"/>
          <w:sz w:val="28"/>
          <w:szCs w:val="28"/>
        </w:rPr>
        <w:t>疑義之處理</w:t>
      </w:r>
      <w:r>
        <w:rPr>
          <w:rFonts w:ascii="標楷體" w:hAnsi="標楷體" w:eastAsia="標楷體"/>
          <w:color w:val="000000"/>
          <w:sz w:val="28"/>
          <w:szCs w:val="28"/>
        </w:rPr>
        <w:t>）</w:t>
      </w:r>
    </w:p>
    <w:p>
      <w:pPr>
        <w:pStyle w:val="Normal"/>
        <w:spacing w:lineRule="exact" w:line="400"/>
        <w:jc w:val="distribute"/>
        <w:rPr>
          <w:rFonts w:ascii="標楷體" w:hAnsi="標楷體" w:eastAsia="標楷體"/>
          <w:color w:val="000000"/>
          <w:spacing w:val="16"/>
          <w:sz w:val="28"/>
          <w:szCs w:val="28"/>
        </w:rPr>
      </w:pPr>
      <w:r>
        <w:rPr>
          <w:rFonts w:ascii="標楷體" w:hAnsi="標楷體" w:eastAsia="標楷體"/>
          <w:color w:val="000000"/>
          <w:spacing w:val="16"/>
          <w:sz w:val="28"/>
          <w:szCs w:val="28"/>
        </w:rPr>
        <w:t xml:space="preserve">      </w:t>
      </w:r>
      <w:r>
        <w:rPr>
          <w:rFonts w:ascii="標楷體" w:hAnsi="標楷體" w:eastAsia="標楷體"/>
          <w:color w:val="000000"/>
          <w:spacing w:val="16"/>
          <w:sz w:val="28"/>
          <w:szCs w:val="28"/>
        </w:rPr>
        <w:t>本契約各條款如有疑義時，應為有利於甲方之解釋。</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第二十七條（通知）</w:t>
      </w:r>
    </w:p>
    <w:p>
      <w:pPr>
        <w:pStyle w:val="Normal"/>
        <w:spacing w:lineRule="exact" w:line="40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履行本契約之各項通知應以契約書上記載資料為準，如有變更應主動通知對方。通知不到時，應再次通知，惟二次通知期間不得短於十四日。</w:t>
      </w:r>
    </w:p>
    <w:p>
      <w:pPr>
        <w:pStyle w:val="Normal"/>
        <w:spacing w:lineRule="exact" w:line="400" w:before="180" w:after="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前項資料變更因怠於通知他方致通知不到時，以第二次通知日期為有效。</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z w:val="28"/>
          <w:szCs w:val="28"/>
        </w:rPr>
      </w:pPr>
      <w:r>
        <w:rPr>
          <w:rFonts w:ascii="標楷體" w:hAnsi="標楷體" w:eastAsia="標楷體"/>
          <w:color w:val="000000"/>
          <w:sz w:val="28"/>
          <w:szCs w:val="28"/>
        </w:rPr>
        <w:t>第二十八條（契約分存）</w:t>
      </w:r>
    </w:p>
    <w:p>
      <w:pPr>
        <w:pStyle w:val="Normal"/>
        <w:spacing w:lineRule="exact" w:line="400"/>
        <w:ind w:left="1080" w:right="0" w:hanging="0"/>
        <w:jc w:val="distribute"/>
        <w:rPr>
          <w:rFonts w:ascii="標楷體" w:hAnsi="標楷體" w:eastAsia="標楷體"/>
          <w:color w:val="000000"/>
          <w:sz w:val="28"/>
          <w:szCs w:val="28"/>
        </w:rPr>
      </w:pPr>
      <w:r>
        <w:rPr>
          <w:rFonts w:ascii="標楷體" w:hAnsi="標楷體" w:eastAsia="標楷體"/>
          <w:color w:val="000000"/>
          <w:sz w:val="28"/>
          <w:szCs w:val="28"/>
        </w:rPr>
        <w:t>本契約一式二份，甲乙雙方各收執乙份。乙方不得藉故將應交甲方收執之契約收回或留存。</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0" w:right="0" w:hanging="70"/>
        <w:jc w:val="distribute"/>
        <w:rPr>
          <w:rFonts w:ascii="標楷體" w:hAnsi="標楷體" w:eastAsia="標楷體"/>
          <w:color w:val="000000"/>
          <w:sz w:val="28"/>
          <w:szCs w:val="28"/>
        </w:rPr>
      </w:pPr>
      <w:r>
        <w:rPr>
          <w:rFonts w:ascii="標楷體" w:hAnsi="標楷體" w:eastAsia="標楷體"/>
          <w:color w:val="000000"/>
          <w:sz w:val="28"/>
          <w:szCs w:val="28"/>
        </w:rPr>
        <w:t>第二十九條（管轄法院）</w:t>
      </w:r>
    </w:p>
    <w:p>
      <w:pPr>
        <w:pStyle w:val="Normal"/>
        <w:spacing w:lineRule="exact" w:line="400"/>
        <w:ind w:left="1078" w:right="0" w:hanging="0"/>
        <w:jc w:val="distribute"/>
        <w:rPr>
          <w:rFonts w:ascii="標楷體" w:hAnsi="標楷體" w:eastAsia="標楷體"/>
          <w:color w:val="000000"/>
          <w:sz w:val="28"/>
          <w:szCs w:val="28"/>
        </w:rPr>
      </w:pPr>
      <w:r>
        <w:rPr>
          <w:rFonts w:ascii="標楷體" w:hAnsi="標楷體" w:eastAsia="標楷體"/>
          <w:color w:val="000000"/>
          <w:sz w:val="28"/>
          <w:szCs w:val="28"/>
        </w:rPr>
        <w:t>雙方因消費爭議發生訴訟時，同意○○地方法院為管轄法院。但不得排除消費者保護法第四十七條及民事訴訟法第四百三十六條之九小額訴訟管轄法院之適用。</w:t>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jc w:val="distribute"/>
        <w:rPr>
          <w:rFonts w:ascii="標楷體" w:hAnsi="標楷體" w:eastAsia="標楷體"/>
          <w:color w:val="000000"/>
          <w:spacing w:val="16"/>
          <w:sz w:val="28"/>
          <w:szCs w:val="28"/>
        </w:rPr>
      </w:pPr>
      <w:r>
        <w:rPr>
          <w:rFonts w:eastAsia="標楷體" w:ascii="標楷體" w:hAnsi="標楷體"/>
          <w:color w:val="000000"/>
          <w:spacing w:val="16"/>
          <w:sz w:val="28"/>
          <w:szCs w:val="28"/>
        </w:rPr>
      </w:r>
    </w:p>
    <w:p>
      <w:pPr>
        <w:pStyle w:val="Normal"/>
        <w:spacing w:lineRule="exact" w:line="400"/>
        <w:ind w:left="969" w:right="0" w:hanging="969"/>
        <w:jc w:val="distribute"/>
        <w:rPr>
          <w:rFonts w:ascii="標楷體" w:hAnsi="標楷體" w:eastAsia="標楷體"/>
          <w:color w:val="000000"/>
          <w:sz w:val="28"/>
        </w:rPr>
      </w:pPr>
      <w:r>
        <w:rPr>
          <w:rFonts w:ascii="標楷體" w:hAnsi="標楷體" w:eastAsia="標楷體"/>
          <w:color w:val="000000"/>
        </w:rPr>
        <w:t>立契約書人：</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甲方：（消費者姓名）</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國民身分證統一編號：</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住址：　　　　　　</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電話：</w:t>
      </w:r>
    </w:p>
    <w:p>
      <w:pPr>
        <w:pStyle w:val="Normal"/>
        <w:spacing w:lineRule="exact" w:line="400"/>
        <w:ind w:left="0" w:right="0" w:firstLine="1680"/>
        <w:jc w:val="distribute"/>
        <w:rPr/>
      </w:pPr>
      <w:r>
        <w:rPr>
          <w:rFonts w:ascii="標楷體" w:hAnsi="標楷體" w:eastAsia="標楷體"/>
          <w:color w:val="000000"/>
        </w:rPr>
        <w:t>乙方：【</w:t>
      </w:r>
      <w:r>
        <w:rPr>
          <w:rFonts w:ascii="標楷體" w:hAnsi="標楷體" w:eastAsia="標楷體"/>
          <w:color w:val="000000"/>
          <w:sz w:val="28"/>
          <w:szCs w:val="28"/>
        </w:rPr>
        <w:t>骨灰（骸）存放設施經營業者名稱</w:t>
      </w:r>
      <w:r>
        <w:rPr>
          <w:rFonts w:ascii="標楷體" w:hAnsi="標楷體" w:eastAsia="標楷體"/>
          <w:color w:val="000000"/>
        </w:rPr>
        <w:t xml:space="preserve">】 </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營利事業統一編號：</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代表人：</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地址：　　　　　　</w:t>
      </w:r>
    </w:p>
    <w:p>
      <w:pPr>
        <w:pStyle w:val="Normal"/>
        <w:spacing w:lineRule="exact" w:line="400"/>
        <w:ind w:left="0" w:right="0" w:firstLine="1680"/>
        <w:jc w:val="distribute"/>
        <w:rPr>
          <w:rFonts w:ascii="標楷體" w:hAnsi="標楷體" w:eastAsia="標楷體"/>
          <w:color w:val="000000"/>
          <w:sz w:val="28"/>
        </w:rPr>
      </w:pPr>
      <w:r>
        <w:rPr>
          <w:rFonts w:ascii="標楷體" w:hAnsi="標楷體" w:eastAsia="標楷體"/>
          <w:color w:val="000000"/>
        </w:rPr>
        <w:t>電話：</w:t>
      </w:r>
    </w:p>
    <w:p>
      <w:pPr>
        <w:pStyle w:val="Normal"/>
        <w:spacing w:lineRule="exact" w:line="400" w:before="180" w:after="50"/>
        <w:ind w:left="0" w:right="204" w:hanging="0"/>
        <w:jc w:val="distribute"/>
        <w:rPr>
          <w:rFonts w:eastAsia="標楷體"/>
          <w:color w:val="000000"/>
          <w:sz w:val="28"/>
        </w:rPr>
      </w:pPr>
      <w:r>
        <w:rPr>
          <w:rFonts w:eastAsia="標楷體"/>
          <w:color w:val="000000"/>
        </w:rPr>
        <w:t>中       華        民        國        年        月          日</w:t>
      </w:r>
    </w:p>
    <w:p>
      <w:pPr>
        <w:pStyle w:val="Normal"/>
        <w:jc w:val="center"/>
        <w:rPr>
          <w:rFonts w:ascii="標楷體" w:hAnsi="標楷體" w:eastAsia="標楷體"/>
          <w:b/>
          <w:sz w:val="32"/>
          <w:szCs w:val="32"/>
        </w:rPr>
      </w:pPr>
      <w:r>
        <w:rPr>
          <w:rFonts w:eastAsia="標楷體" w:ascii="標楷體" w:hAnsi="標楷體"/>
          <w:b/>
          <w:sz w:val="32"/>
          <w:szCs w:val="32"/>
        </w:rPr>
      </w:r>
    </w:p>
    <w:sectPr>
      <w:type w:val="nextPage"/>
      <w:pgSz w:w="11906" w:h="16838"/>
      <w:pgMar w:left="1418" w:right="1418" w:header="0" w:top="1418" w:footer="0"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w:charset w:val="88"/>
    <w:family w:val="swiss"/>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rPr>
        <w:u w:val="none"/>
      </w:rPr>
    </w:lvl>
    <w:lvl w:ilvl="1">
      <w:start w:val="8"/>
      <w:numFmt w:val="decimal"/>
      <w:lvlText w:val="第%2條"/>
      <w:lvlJc w:val="left"/>
      <w:pPr>
        <w:tabs>
          <w:tab w:val="num" w:pos="1305"/>
        </w:tabs>
        <w:ind w:left="1305" w:hanging="1125"/>
      </w:pPr>
      <w:rPr/>
    </w:lvl>
    <w:lvl w:ilvl="2">
      <w:start w:val="1"/>
      <w:numFmt w:val="decimal"/>
      <w:lvlText w:val="%3、"/>
      <w:lvlJc w:val="left"/>
      <w:pPr>
        <w:tabs>
          <w:tab w:val="num" w:pos="1680"/>
        </w:tabs>
        <w:ind w:left="1680" w:hanging="720"/>
      </w:pPr>
      <w:rPr>
        <w:u w:val="none"/>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2">
    <w:lvl w:ilvl="0">
      <w:start w:val="1"/>
      <w:numFmt w:val="decimal"/>
      <w:lvlText w:val="（%1）"/>
      <w:lvlJc w:val="left"/>
      <w:pPr>
        <w:tabs>
          <w:tab w:val="num" w:pos="780"/>
        </w:tabs>
        <w:ind w:left="780" w:hanging="780"/>
      </w:pPr>
      <w:rPr>
        <w:u w:val="none"/>
      </w:rPr>
    </w:lvl>
    <w:lvl w:ilvl="1">
      <w:start w:val="1"/>
      <w:numFmt w:val="decim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3">
    <w:lvl w:ilvl="0">
      <w:start w:val="1"/>
      <w:numFmt w:val="decimal"/>
      <w:lvlText w:val="%1、"/>
      <w:lvlJc w:val="left"/>
      <w:pPr>
        <w:tabs>
          <w:tab w:val="num" w:pos="1190"/>
        </w:tabs>
        <w:ind w:left="1190" w:hanging="720"/>
      </w:pPr>
      <w:rPr/>
    </w:lvl>
    <w:lvl w:ilvl="1">
      <w:start w:val="1"/>
      <w:numFmt w:val="decimal"/>
      <w:lvlText w:val="%2、"/>
      <w:lvlJc w:val="left"/>
      <w:pPr>
        <w:tabs>
          <w:tab w:val="num" w:pos="1430"/>
        </w:tabs>
        <w:ind w:left="1430" w:hanging="480"/>
      </w:pPr>
      <w:rPr/>
    </w:lvl>
    <w:lvl w:ilvl="2">
      <w:start w:val="1"/>
      <w:numFmt w:val="lowerRoman"/>
      <w:lvlText w:val="%3."/>
      <w:lvlJc w:val="right"/>
      <w:pPr>
        <w:tabs>
          <w:tab w:val="num" w:pos="1910"/>
        </w:tabs>
        <w:ind w:left="1910" w:hanging="480"/>
      </w:pPr>
      <w:rPr/>
    </w:lvl>
    <w:lvl w:ilvl="3">
      <w:start w:val="1"/>
      <w:numFmt w:val="decimal"/>
      <w:lvlText w:val="%4."/>
      <w:lvlJc w:val="left"/>
      <w:pPr>
        <w:tabs>
          <w:tab w:val="num" w:pos="2390"/>
        </w:tabs>
        <w:ind w:left="2390" w:hanging="480"/>
      </w:pPr>
      <w:rPr/>
    </w:lvl>
    <w:lvl w:ilvl="4">
      <w:start w:val="1"/>
      <w:numFmt w:val="decimal"/>
      <w:lvlText w:val="%5、"/>
      <w:lvlJc w:val="left"/>
      <w:pPr>
        <w:tabs>
          <w:tab w:val="num" w:pos="2870"/>
        </w:tabs>
        <w:ind w:left="2870" w:hanging="480"/>
      </w:pPr>
      <w:rPr/>
    </w:lvl>
    <w:lvl w:ilvl="5">
      <w:start w:val="1"/>
      <w:numFmt w:val="lowerRoman"/>
      <w:lvlText w:val="%6."/>
      <w:lvlJc w:val="right"/>
      <w:pPr>
        <w:tabs>
          <w:tab w:val="num" w:pos="3350"/>
        </w:tabs>
        <w:ind w:left="3350" w:hanging="480"/>
      </w:pPr>
      <w:rPr/>
    </w:lvl>
    <w:lvl w:ilvl="6">
      <w:start w:val="1"/>
      <w:numFmt w:val="decimal"/>
      <w:lvlText w:val="%7."/>
      <w:lvlJc w:val="left"/>
      <w:pPr>
        <w:tabs>
          <w:tab w:val="num" w:pos="3830"/>
        </w:tabs>
        <w:ind w:left="3830" w:hanging="480"/>
      </w:pPr>
      <w:rPr/>
    </w:lvl>
    <w:lvl w:ilvl="7">
      <w:start w:val="1"/>
      <w:numFmt w:val="decimal"/>
      <w:lvlText w:val="%8、"/>
      <w:lvlJc w:val="left"/>
      <w:pPr>
        <w:tabs>
          <w:tab w:val="num" w:pos="4310"/>
        </w:tabs>
        <w:ind w:left="4310" w:hanging="480"/>
      </w:pPr>
      <w:rPr/>
    </w:lvl>
    <w:lvl w:ilvl="8">
      <w:start w:val="1"/>
      <w:numFmt w:val="lowerRoman"/>
      <w:lvlText w:val="%9."/>
      <w:lvlJc w:val="right"/>
      <w:pPr>
        <w:tabs>
          <w:tab w:val="num" w:pos="4790"/>
        </w:tabs>
        <w:ind w:left="4790" w:hanging="480"/>
      </w:pPr>
      <w:rPr/>
    </w:lvl>
  </w:abstractNum>
  <w:abstractNum w:abstractNumId="4">
    <w:lvl w:ilvl="0">
      <w:start w:val="1"/>
      <w:numFmt w:val="decimal"/>
      <w:lvlText w:val="%1、"/>
      <w:lvlJc w:val="left"/>
      <w:pPr>
        <w:tabs>
          <w:tab w:val="num" w:pos="1010"/>
        </w:tabs>
        <w:ind w:left="1010" w:hanging="720"/>
      </w:pPr>
      <w:rPr/>
    </w:lvl>
    <w:lvl w:ilvl="1">
      <w:start w:val="1"/>
      <w:numFmt w:val="decimal"/>
      <w:lvlText w:val="%2、"/>
      <w:lvlJc w:val="left"/>
      <w:pPr>
        <w:tabs>
          <w:tab w:val="num" w:pos="1250"/>
        </w:tabs>
        <w:ind w:left="1250" w:hanging="480"/>
      </w:pPr>
      <w:rPr/>
    </w:lvl>
    <w:lvl w:ilvl="2">
      <w:start w:val="1"/>
      <w:numFmt w:val="lowerRoman"/>
      <w:lvlText w:val="%3."/>
      <w:lvlJc w:val="right"/>
      <w:pPr>
        <w:tabs>
          <w:tab w:val="num" w:pos="1730"/>
        </w:tabs>
        <w:ind w:left="1730" w:hanging="480"/>
      </w:pPr>
      <w:rPr/>
    </w:lvl>
    <w:lvl w:ilvl="3">
      <w:start w:val="1"/>
      <w:numFmt w:val="decimal"/>
      <w:lvlText w:val="%4."/>
      <w:lvlJc w:val="left"/>
      <w:pPr>
        <w:tabs>
          <w:tab w:val="num" w:pos="2210"/>
        </w:tabs>
        <w:ind w:left="2210" w:hanging="480"/>
      </w:pPr>
      <w:rPr/>
    </w:lvl>
    <w:lvl w:ilvl="4">
      <w:start w:val="1"/>
      <w:numFmt w:val="decimal"/>
      <w:lvlText w:val="%5、"/>
      <w:lvlJc w:val="left"/>
      <w:pPr>
        <w:tabs>
          <w:tab w:val="num" w:pos="2690"/>
        </w:tabs>
        <w:ind w:left="2690" w:hanging="480"/>
      </w:pPr>
      <w:rPr/>
    </w:lvl>
    <w:lvl w:ilvl="5">
      <w:start w:val="1"/>
      <w:numFmt w:val="lowerRoman"/>
      <w:lvlText w:val="%6."/>
      <w:lvlJc w:val="right"/>
      <w:pPr>
        <w:tabs>
          <w:tab w:val="num" w:pos="3170"/>
        </w:tabs>
        <w:ind w:left="3170" w:hanging="480"/>
      </w:pPr>
      <w:rPr/>
    </w:lvl>
    <w:lvl w:ilvl="6">
      <w:start w:val="1"/>
      <w:numFmt w:val="decimal"/>
      <w:lvlText w:val="%7."/>
      <w:lvlJc w:val="left"/>
      <w:pPr>
        <w:tabs>
          <w:tab w:val="num" w:pos="3650"/>
        </w:tabs>
        <w:ind w:left="3650" w:hanging="480"/>
      </w:pPr>
      <w:rPr/>
    </w:lvl>
    <w:lvl w:ilvl="7">
      <w:start w:val="1"/>
      <w:numFmt w:val="decimal"/>
      <w:lvlText w:val="%8、"/>
      <w:lvlJc w:val="left"/>
      <w:pPr>
        <w:tabs>
          <w:tab w:val="num" w:pos="4130"/>
        </w:tabs>
        <w:ind w:left="4130" w:hanging="480"/>
      </w:pPr>
      <w:rPr/>
    </w:lvl>
    <w:lvl w:ilvl="8">
      <w:start w:val="1"/>
      <w:numFmt w:val="lowerRoman"/>
      <w:lvlText w:val="%9."/>
      <w:lvlJc w:val="right"/>
      <w:pPr>
        <w:tabs>
          <w:tab w:val="num" w:pos="4610"/>
        </w:tabs>
        <w:ind w:left="4610" w:hanging="480"/>
      </w:pPr>
      <w:rPr/>
    </w:lvl>
  </w:abstractNum>
  <w:abstractNum w:abstractNumId="5">
    <w:lvl w:ilvl="0">
      <w:start w:val="1"/>
      <w:numFmt w:val="decimal"/>
      <w:lvlText w:val="%1、"/>
      <w:lvlJc w:val="left"/>
      <w:pPr>
        <w:tabs>
          <w:tab w:val="num" w:pos="720"/>
        </w:tabs>
        <w:ind w:left="720" w:hanging="720"/>
      </w:pPr>
      <w:rPr/>
    </w:lvl>
    <w:lvl w:ilvl="1">
      <w:start w:val="1"/>
      <w:numFmt w:val="decimal"/>
      <w:lvlText w:val="%2、"/>
      <w:lvlJc w:val="left"/>
      <w:pPr>
        <w:tabs>
          <w:tab w:val="num" w:pos="1200"/>
        </w:tabs>
        <w:ind w:left="1200" w:hanging="72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6">
    <w:lvl w:ilvl="0">
      <w:start w:val="1"/>
      <w:numFmt w:val="decimal"/>
      <w:lvlText w:val="%1、"/>
      <w:lvlJc w:val="left"/>
      <w:pPr>
        <w:tabs>
          <w:tab w:val="num" w:pos="1620"/>
        </w:tabs>
        <w:ind w:left="1620" w:hanging="720"/>
      </w:pPr>
      <w:rPr/>
    </w:lvl>
    <w:lvl w:ilvl="1">
      <w:start w:val="1"/>
      <w:numFmt w:val="decimal"/>
      <w:lvlText w:val="%2、"/>
      <w:lvlJc w:val="left"/>
      <w:pPr>
        <w:tabs>
          <w:tab w:val="num" w:pos="1860"/>
        </w:tabs>
        <w:ind w:left="1860" w:hanging="480"/>
      </w:pPr>
      <w:rPr/>
    </w:lvl>
    <w:lvl w:ilvl="2">
      <w:start w:val="1"/>
      <w:numFmt w:val="lowerRoman"/>
      <w:lvlText w:val="%3."/>
      <w:lvlJc w:val="right"/>
      <w:pPr>
        <w:tabs>
          <w:tab w:val="num" w:pos="2340"/>
        </w:tabs>
        <w:ind w:left="2340" w:hanging="480"/>
      </w:pPr>
      <w:rPr/>
    </w:lvl>
    <w:lvl w:ilvl="3">
      <w:start w:val="1"/>
      <w:numFmt w:val="decimal"/>
      <w:lvlText w:val="%4."/>
      <w:lvlJc w:val="left"/>
      <w:pPr>
        <w:tabs>
          <w:tab w:val="num" w:pos="2820"/>
        </w:tabs>
        <w:ind w:left="2820" w:hanging="480"/>
      </w:pPr>
      <w:rPr/>
    </w:lvl>
    <w:lvl w:ilvl="4">
      <w:start w:val="1"/>
      <w:numFmt w:val="decimal"/>
      <w:lvlText w:val="%5、"/>
      <w:lvlJc w:val="left"/>
      <w:pPr>
        <w:tabs>
          <w:tab w:val="num" w:pos="3300"/>
        </w:tabs>
        <w:ind w:left="3300" w:hanging="480"/>
      </w:pPr>
      <w:rPr/>
    </w:lvl>
    <w:lvl w:ilvl="5">
      <w:start w:val="1"/>
      <w:numFmt w:val="lowerRoman"/>
      <w:lvlText w:val="%6."/>
      <w:lvlJc w:val="right"/>
      <w:pPr>
        <w:tabs>
          <w:tab w:val="num" w:pos="3780"/>
        </w:tabs>
        <w:ind w:left="3780" w:hanging="480"/>
      </w:pPr>
      <w:rPr/>
    </w:lvl>
    <w:lvl w:ilvl="6">
      <w:start w:val="1"/>
      <w:numFmt w:val="decimal"/>
      <w:lvlText w:val="%7."/>
      <w:lvlJc w:val="left"/>
      <w:pPr>
        <w:tabs>
          <w:tab w:val="num" w:pos="4260"/>
        </w:tabs>
        <w:ind w:left="4260" w:hanging="480"/>
      </w:pPr>
      <w:rPr/>
    </w:lvl>
    <w:lvl w:ilvl="7">
      <w:start w:val="1"/>
      <w:numFmt w:val="decimal"/>
      <w:lvlText w:val="%8、"/>
      <w:lvlJc w:val="left"/>
      <w:pPr>
        <w:tabs>
          <w:tab w:val="num" w:pos="4740"/>
        </w:tabs>
        <w:ind w:left="4740" w:hanging="480"/>
      </w:pPr>
      <w:rPr/>
    </w:lvl>
    <w:lvl w:ilvl="8">
      <w:start w:val="1"/>
      <w:numFmt w:val="lowerRoman"/>
      <w:lvlText w:val="%9."/>
      <w:lvlJc w:val="right"/>
      <w:pPr>
        <w:tabs>
          <w:tab w:val="num" w:pos="5220"/>
        </w:tabs>
        <w:ind w:left="5220" w:hanging="480"/>
      </w:pPr>
      <w:rPr/>
    </w:lvl>
  </w:abstractNum>
  <w:abstractNum w:abstractNumId="7">
    <w:lvl w:ilvl="0">
      <w:start w:val="1"/>
      <w:numFmt w:val="decimal"/>
      <w:lvlText w:val="%1、"/>
      <w:lvlJc w:val="left"/>
      <w:pPr>
        <w:tabs>
          <w:tab w:val="num" w:pos="1590"/>
        </w:tabs>
        <w:ind w:left="1590" w:hanging="720"/>
      </w:pPr>
      <w:rPr/>
    </w:lvl>
    <w:lvl w:ilvl="1">
      <w:start w:val="1"/>
      <w:numFmt w:val="decimal"/>
      <w:lvlText w:val="%2、"/>
      <w:lvlJc w:val="left"/>
      <w:pPr>
        <w:tabs>
          <w:tab w:val="num" w:pos="1830"/>
        </w:tabs>
        <w:ind w:left="1830" w:hanging="480"/>
      </w:pPr>
      <w:rPr/>
    </w:lvl>
    <w:lvl w:ilvl="2">
      <w:start w:val="1"/>
      <w:numFmt w:val="lowerRoman"/>
      <w:lvlText w:val="%3."/>
      <w:lvlJc w:val="right"/>
      <w:pPr>
        <w:tabs>
          <w:tab w:val="num" w:pos="2310"/>
        </w:tabs>
        <w:ind w:left="2310" w:hanging="480"/>
      </w:pPr>
      <w:rPr/>
    </w:lvl>
    <w:lvl w:ilvl="3">
      <w:start w:val="1"/>
      <w:numFmt w:val="decimal"/>
      <w:lvlText w:val="%4."/>
      <w:lvlJc w:val="left"/>
      <w:pPr>
        <w:tabs>
          <w:tab w:val="num" w:pos="2790"/>
        </w:tabs>
        <w:ind w:left="2790" w:hanging="480"/>
      </w:pPr>
      <w:rPr/>
    </w:lvl>
    <w:lvl w:ilvl="4">
      <w:start w:val="1"/>
      <w:numFmt w:val="decimal"/>
      <w:lvlText w:val="%5、"/>
      <w:lvlJc w:val="left"/>
      <w:pPr>
        <w:tabs>
          <w:tab w:val="num" w:pos="3270"/>
        </w:tabs>
        <w:ind w:left="3270" w:hanging="480"/>
      </w:pPr>
      <w:rPr/>
    </w:lvl>
    <w:lvl w:ilvl="5">
      <w:start w:val="1"/>
      <w:numFmt w:val="lowerRoman"/>
      <w:lvlText w:val="%6."/>
      <w:lvlJc w:val="right"/>
      <w:pPr>
        <w:tabs>
          <w:tab w:val="num" w:pos="3750"/>
        </w:tabs>
        <w:ind w:left="3750" w:hanging="480"/>
      </w:pPr>
      <w:rPr/>
    </w:lvl>
    <w:lvl w:ilvl="6">
      <w:start w:val="1"/>
      <w:numFmt w:val="decimal"/>
      <w:lvlText w:val="%7."/>
      <w:lvlJc w:val="left"/>
      <w:pPr>
        <w:tabs>
          <w:tab w:val="num" w:pos="4230"/>
        </w:tabs>
        <w:ind w:left="4230" w:hanging="480"/>
      </w:pPr>
      <w:rPr/>
    </w:lvl>
    <w:lvl w:ilvl="7">
      <w:start w:val="1"/>
      <w:numFmt w:val="decimal"/>
      <w:lvlText w:val="%8、"/>
      <w:lvlJc w:val="left"/>
      <w:pPr>
        <w:tabs>
          <w:tab w:val="num" w:pos="4710"/>
        </w:tabs>
        <w:ind w:left="4710" w:hanging="480"/>
      </w:pPr>
      <w:rPr/>
    </w:lvl>
    <w:lvl w:ilvl="8">
      <w:start w:val="1"/>
      <w:numFmt w:val="lowerRoman"/>
      <w:lvlText w:val="%9."/>
      <w:lvlJc w:val="right"/>
      <w:pPr>
        <w:tabs>
          <w:tab w:val="num" w:pos="5190"/>
        </w:tabs>
        <w:ind w:left="5190" w:hanging="480"/>
      </w:pPr>
      <w:rPr/>
    </w:lvl>
  </w:abstractNum>
  <w:abstractNum w:abstractNumId="8">
    <w:lvl w:ilvl="0">
      <w:start w:val="1"/>
      <w:numFmt w:val="decimal"/>
      <w:lvlText w:val="%1、"/>
      <w:lvlJc w:val="left"/>
      <w:pPr>
        <w:tabs>
          <w:tab w:val="num" w:pos="1698"/>
        </w:tabs>
        <w:ind w:left="1698" w:hanging="720"/>
      </w:pPr>
      <w:rPr/>
    </w:lvl>
    <w:lvl w:ilvl="1">
      <w:start w:val="1"/>
      <w:numFmt w:val="decimal"/>
      <w:lvlText w:val="%2、"/>
      <w:lvlJc w:val="left"/>
      <w:pPr>
        <w:tabs>
          <w:tab w:val="num" w:pos="1938"/>
        </w:tabs>
        <w:ind w:left="1938" w:hanging="480"/>
      </w:pPr>
      <w:rPr/>
    </w:lvl>
    <w:lvl w:ilvl="2">
      <w:start w:val="1"/>
      <w:numFmt w:val="lowerRoman"/>
      <w:lvlText w:val="%3."/>
      <w:lvlJc w:val="right"/>
      <w:pPr>
        <w:tabs>
          <w:tab w:val="num" w:pos="2418"/>
        </w:tabs>
        <w:ind w:left="2418" w:hanging="480"/>
      </w:pPr>
      <w:rPr/>
    </w:lvl>
    <w:lvl w:ilvl="3">
      <w:start w:val="1"/>
      <w:numFmt w:val="decimal"/>
      <w:lvlText w:val="%4."/>
      <w:lvlJc w:val="left"/>
      <w:pPr>
        <w:tabs>
          <w:tab w:val="num" w:pos="2898"/>
        </w:tabs>
        <w:ind w:left="2898" w:hanging="480"/>
      </w:pPr>
      <w:rPr/>
    </w:lvl>
    <w:lvl w:ilvl="4">
      <w:start w:val="1"/>
      <w:numFmt w:val="decimal"/>
      <w:lvlText w:val="%5、"/>
      <w:lvlJc w:val="left"/>
      <w:pPr>
        <w:tabs>
          <w:tab w:val="num" w:pos="3378"/>
        </w:tabs>
        <w:ind w:left="3378" w:hanging="480"/>
      </w:pPr>
      <w:rPr/>
    </w:lvl>
    <w:lvl w:ilvl="5">
      <w:start w:val="1"/>
      <w:numFmt w:val="lowerRoman"/>
      <w:lvlText w:val="%6."/>
      <w:lvlJc w:val="right"/>
      <w:pPr>
        <w:tabs>
          <w:tab w:val="num" w:pos="3858"/>
        </w:tabs>
        <w:ind w:left="3858" w:hanging="480"/>
      </w:pPr>
      <w:rPr/>
    </w:lvl>
    <w:lvl w:ilvl="6">
      <w:start w:val="1"/>
      <w:numFmt w:val="decimal"/>
      <w:lvlText w:val="%7."/>
      <w:lvlJc w:val="left"/>
      <w:pPr>
        <w:tabs>
          <w:tab w:val="num" w:pos="4338"/>
        </w:tabs>
        <w:ind w:left="4338" w:hanging="480"/>
      </w:pPr>
      <w:rPr/>
    </w:lvl>
    <w:lvl w:ilvl="7">
      <w:start w:val="1"/>
      <w:numFmt w:val="decimal"/>
      <w:lvlText w:val="%8、"/>
      <w:lvlJc w:val="left"/>
      <w:pPr>
        <w:tabs>
          <w:tab w:val="num" w:pos="4818"/>
        </w:tabs>
        <w:ind w:left="4818" w:hanging="480"/>
      </w:pPr>
      <w:rPr/>
    </w:lvl>
    <w:lvl w:ilvl="8">
      <w:start w:val="1"/>
      <w:numFmt w:val="lowerRoman"/>
      <w:lvlText w:val="%9."/>
      <w:lvlJc w:val="right"/>
      <w:pPr>
        <w:tabs>
          <w:tab w:val="num" w:pos="5298"/>
        </w:tabs>
        <w:ind w:left="5298" w:hanging="480"/>
      </w:pPr>
      <w:rPr/>
    </w:lvl>
  </w:abstractNum>
  <w:abstractNum w:abstractNumId="9">
    <w:lvl w:ilvl="0">
      <w:start w:val="1"/>
      <w:numFmt w:val="decimal"/>
      <w:lvlText w:val="%1、"/>
      <w:lvlJc w:val="left"/>
      <w:pPr>
        <w:tabs>
          <w:tab w:val="num" w:pos="1829"/>
        </w:tabs>
        <w:ind w:left="1829" w:hanging="720"/>
      </w:pPr>
      <w:rPr/>
    </w:lvl>
    <w:lvl w:ilvl="1">
      <w:start w:val="1"/>
      <w:numFmt w:val="decimal"/>
      <w:lvlText w:val="%2、"/>
      <w:lvlJc w:val="left"/>
      <w:pPr>
        <w:tabs>
          <w:tab w:val="num" w:pos="2069"/>
        </w:tabs>
        <w:ind w:left="2069" w:hanging="480"/>
      </w:pPr>
      <w:rPr/>
    </w:lvl>
    <w:lvl w:ilvl="2">
      <w:start w:val="1"/>
      <w:numFmt w:val="lowerRoman"/>
      <w:lvlText w:val="%3."/>
      <w:lvlJc w:val="right"/>
      <w:pPr>
        <w:tabs>
          <w:tab w:val="num" w:pos="2549"/>
        </w:tabs>
        <w:ind w:left="2549" w:hanging="480"/>
      </w:pPr>
      <w:rPr/>
    </w:lvl>
    <w:lvl w:ilvl="3">
      <w:start w:val="1"/>
      <w:numFmt w:val="decimal"/>
      <w:lvlText w:val="%4."/>
      <w:lvlJc w:val="left"/>
      <w:pPr>
        <w:tabs>
          <w:tab w:val="num" w:pos="3029"/>
        </w:tabs>
        <w:ind w:left="3029" w:hanging="480"/>
      </w:pPr>
      <w:rPr/>
    </w:lvl>
    <w:lvl w:ilvl="4">
      <w:start w:val="1"/>
      <w:numFmt w:val="decimal"/>
      <w:lvlText w:val="%5、"/>
      <w:lvlJc w:val="left"/>
      <w:pPr>
        <w:tabs>
          <w:tab w:val="num" w:pos="3509"/>
        </w:tabs>
        <w:ind w:left="3509" w:hanging="480"/>
      </w:pPr>
      <w:rPr/>
    </w:lvl>
    <w:lvl w:ilvl="5">
      <w:start w:val="1"/>
      <w:numFmt w:val="lowerRoman"/>
      <w:lvlText w:val="%6."/>
      <w:lvlJc w:val="right"/>
      <w:pPr>
        <w:tabs>
          <w:tab w:val="num" w:pos="3989"/>
        </w:tabs>
        <w:ind w:left="3989" w:hanging="480"/>
      </w:pPr>
      <w:rPr/>
    </w:lvl>
    <w:lvl w:ilvl="6">
      <w:start w:val="1"/>
      <w:numFmt w:val="decimal"/>
      <w:lvlText w:val="%7."/>
      <w:lvlJc w:val="left"/>
      <w:pPr>
        <w:tabs>
          <w:tab w:val="num" w:pos="4469"/>
        </w:tabs>
        <w:ind w:left="4469" w:hanging="480"/>
      </w:pPr>
      <w:rPr/>
    </w:lvl>
    <w:lvl w:ilvl="7">
      <w:start w:val="1"/>
      <w:numFmt w:val="decimal"/>
      <w:lvlText w:val="%8、"/>
      <w:lvlJc w:val="left"/>
      <w:pPr>
        <w:tabs>
          <w:tab w:val="num" w:pos="4949"/>
        </w:tabs>
        <w:ind w:left="4949" w:hanging="480"/>
      </w:pPr>
      <w:rPr/>
    </w:lvl>
    <w:lvl w:ilvl="8">
      <w:start w:val="1"/>
      <w:numFmt w:val="lowerRoman"/>
      <w:lvlText w:val="%9."/>
      <w:lvlJc w:val="right"/>
      <w:pPr>
        <w:tabs>
          <w:tab w:val="num" w:pos="5429"/>
        </w:tabs>
        <w:ind w:left="5429" w:hanging="480"/>
      </w:pPr>
      <w:rPr/>
    </w:lvl>
  </w:abstractNum>
  <w:abstractNum w:abstractNumId="10">
    <w:lvl w:ilvl="0">
      <w:start w:val="1"/>
      <w:numFmt w:val="decimal"/>
      <w:lvlText w:val="%1、"/>
      <w:lvlJc w:val="left"/>
      <w:pPr>
        <w:tabs>
          <w:tab w:val="num" w:pos="1560"/>
        </w:tabs>
        <w:ind w:left="1560" w:hanging="480"/>
      </w:pPr>
      <w:rPr>
        <w:b w:val="false"/>
      </w:rPr>
    </w:lvl>
    <w:lvl w:ilvl="1">
      <w:start w:val="1"/>
      <w:numFmt w:val="decimal"/>
      <w:lvlText w:val="%2、"/>
      <w:lvlJc w:val="left"/>
      <w:pPr>
        <w:tabs>
          <w:tab w:val="num" w:pos="2040"/>
        </w:tabs>
        <w:ind w:left="2040" w:hanging="480"/>
      </w:pPr>
      <w:rPr/>
    </w:lvl>
    <w:lvl w:ilvl="2">
      <w:start w:val="1"/>
      <w:numFmt w:val="lowerRoman"/>
      <w:lvlText w:val="%3."/>
      <w:lvlJc w:val="right"/>
      <w:pPr>
        <w:tabs>
          <w:tab w:val="num" w:pos="2520"/>
        </w:tabs>
        <w:ind w:left="2520" w:hanging="480"/>
      </w:pPr>
      <w:rPr/>
    </w:lvl>
    <w:lvl w:ilvl="3">
      <w:start w:val="1"/>
      <w:numFmt w:val="decimal"/>
      <w:lvlText w:val="%4."/>
      <w:lvlJc w:val="left"/>
      <w:pPr>
        <w:tabs>
          <w:tab w:val="num" w:pos="3000"/>
        </w:tabs>
        <w:ind w:left="3000" w:hanging="480"/>
      </w:pPr>
      <w:rPr/>
    </w:lvl>
    <w:lvl w:ilvl="4">
      <w:start w:val="1"/>
      <w:numFmt w:val="decimal"/>
      <w:lvlText w:val="%5、"/>
      <w:lvlJc w:val="left"/>
      <w:pPr>
        <w:tabs>
          <w:tab w:val="num" w:pos="3480"/>
        </w:tabs>
        <w:ind w:left="3480" w:hanging="480"/>
      </w:pPr>
      <w:rPr/>
    </w:lvl>
    <w:lvl w:ilvl="5">
      <w:start w:val="1"/>
      <w:numFmt w:val="lowerRoman"/>
      <w:lvlText w:val="%6."/>
      <w:lvlJc w:val="right"/>
      <w:pPr>
        <w:tabs>
          <w:tab w:val="num" w:pos="3960"/>
        </w:tabs>
        <w:ind w:left="3960" w:hanging="480"/>
      </w:pPr>
      <w:rPr/>
    </w:lvl>
    <w:lvl w:ilvl="6">
      <w:start w:val="1"/>
      <w:numFmt w:val="decimal"/>
      <w:lvlText w:val="%7."/>
      <w:lvlJc w:val="left"/>
      <w:pPr>
        <w:tabs>
          <w:tab w:val="num" w:pos="4440"/>
        </w:tabs>
        <w:ind w:left="4440" w:hanging="480"/>
      </w:pPr>
      <w:rPr/>
    </w:lvl>
    <w:lvl w:ilvl="7">
      <w:start w:val="1"/>
      <w:numFmt w:val="decimal"/>
      <w:lvlText w:val="%8、"/>
      <w:lvlJc w:val="left"/>
      <w:pPr>
        <w:tabs>
          <w:tab w:val="num" w:pos="4920"/>
        </w:tabs>
        <w:ind w:left="4920" w:hanging="480"/>
      </w:pPr>
      <w:rPr/>
    </w:lvl>
    <w:lvl w:ilvl="8">
      <w:start w:val="1"/>
      <w:numFmt w:val="lowerRoman"/>
      <w:lvlText w:val="%9."/>
      <w:lvlJc w:val="right"/>
      <w:pPr>
        <w:tabs>
          <w:tab w:val="num" w:pos="5400"/>
        </w:tabs>
        <w:ind w:left="5400" w:hanging="480"/>
      </w:pPr>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sz w:val="20"/>
        <w:lang w:val="zh-TW" w:eastAsia="zh-TW" w:bidi="zh-TW"/>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 w:cs="Times New Roman"/>
      <w:color w:val="auto"/>
      <w:sz w:val="24"/>
      <w:szCs w:val="24"/>
      <w:lang w:val="en-US" w:eastAsia="zh-TW" w:bidi="zh-TW"/>
    </w:rPr>
  </w:style>
  <w:style w:type="character" w:styleId="DefaultParagraphFont">
    <w:name w:val="Default Paragraph Font"/>
    <w:qFormat/>
    <w:rPr/>
  </w:style>
  <w:style w:type="character" w:styleId="Style14">
    <w:name w:val="一 字元"/>
    <w:basedOn w:val="DefaultParagraphFont"/>
    <w:qFormat/>
    <w:rPr>
      <w:rFonts w:eastAsia="新細明體"/>
      <w:sz w:val="22"/>
      <w:szCs w:val="22"/>
      <w:lang w:val="en-US"/>
    </w:rPr>
  </w:style>
  <w:style w:type="character" w:styleId="List2Level4">
    <w:name w:val="List2Level4"/>
    <w:qFormat/>
    <w:rPr>
      <w:rFonts w:ascii="Calibri" w:hAnsi="Calibri" w:eastAsia="標楷體" w:cs="Calibri"/>
      <w:b w:val="false"/>
      <w:bCs w:val="false"/>
      <w:i w:val="false"/>
      <w:iCs w:val="false"/>
      <w:strike w:val="false"/>
      <w:dstrike w:val="false"/>
      <w:vanish w:val="false"/>
      <w:color w:val="000000"/>
      <w:spacing w:val="0"/>
      <w:w w:val="100"/>
      <w:sz w:val="28"/>
      <w:szCs w:val="28"/>
      <w:u w:val="none"/>
    </w:rPr>
  </w:style>
  <w:style w:type="character" w:styleId="List3Level0">
    <w:name w:val="List3Level0"/>
    <w:qFormat/>
    <w:rPr>
      <w:rFonts w:ascii="標楷體" w:hAnsi="標楷體" w:eastAsia="標楷體" w:cs="Times New Roman"/>
      <w:lang w:val="en-US"/>
    </w:rPr>
  </w:style>
  <w:style w:type="character" w:styleId="List4Level4">
    <w:name w:val="List4Level4"/>
    <w:qFormat/>
    <w:rPr>
      <w:rFonts w:ascii="Calibri" w:hAnsi="Calibri" w:eastAsia="標楷體" w:cs="Calibri"/>
      <w:b w:val="false"/>
      <w:bCs w:val="false"/>
      <w:i w:val="false"/>
      <w:iCs w:val="false"/>
      <w:strike w:val="false"/>
      <w:dstrike w:val="false"/>
      <w:vanish w:val="false"/>
      <w:color w:val="000000"/>
      <w:spacing w:val="0"/>
      <w:w w:val="100"/>
      <w:sz w:val="28"/>
      <w:szCs w:val="28"/>
      <w:u w:val="none"/>
    </w:rPr>
  </w:style>
  <w:style w:type="character" w:styleId="List5Level0">
    <w:name w:val="List5Level0"/>
    <w:qFormat/>
    <w:rPr>
      <w:rFonts w:ascii="標楷體" w:hAnsi="標楷體" w:eastAsia="新細明體" w:cs="Times New Roman"/>
    </w:rPr>
  </w:style>
  <w:style w:type="character" w:styleId="List5Level1">
    <w:name w:val="List5Level1"/>
    <w:qFormat/>
    <w:rPr>
      <w:u w:val="none"/>
    </w:rPr>
  </w:style>
  <w:style w:type="character" w:styleId="List6Level0">
    <w:name w:val="List6Level0"/>
    <w:qFormat/>
    <w:rPr>
      <w:rFonts w:ascii="Calibri" w:hAnsi="Calibri" w:eastAsia="標楷體" w:cs="Calibri"/>
      <w:b w:val="false"/>
      <w:bCs w:val="false"/>
      <w:i w:val="false"/>
      <w:iCs w:val="false"/>
      <w:strike w:val="false"/>
      <w:dstrike w:val="false"/>
      <w:vanish w:val="false"/>
      <w:color w:val="000000"/>
      <w:spacing w:val="0"/>
      <w:w w:val="100"/>
      <w:sz w:val="28"/>
      <w:szCs w:val="28"/>
      <w:u w:val="none"/>
      <w:lang w:val="en-US"/>
    </w:rPr>
  </w:style>
  <w:style w:type="character" w:styleId="List7Level0">
    <w:name w:val="List7Level0"/>
    <w:qFormat/>
    <w:rPr>
      <w:lang w:val="en-US"/>
    </w:rPr>
  </w:style>
  <w:style w:type="character" w:styleId="List7Level1">
    <w:name w:val="List7Level1"/>
    <w:qFormat/>
    <w:rPr>
      <w:lang w:val="en-US"/>
    </w:rPr>
  </w:style>
  <w:style w:type="character" w:styleId="List8Level0">
    <w:name w:val="List8Level0"/>
    <w:qFormat/>
    <w:rPr>
      <w:color w:val="000000"/>
      <w:u w:val="none"/>
    </w:rPr>
  </w:style>
  <w:style w:type="character" w:styleId="List12Level0">
    <w:name w:val="List12Level0"/>
    <w:qFormat/>
    <w:rPr>
      <w:u w:val="none"/>
    </w:rPr>
  </w:style>
  <w:style w:type="character" w:styleId="List12Level2">
    <w:name w:val="List12Level2"/>
    <w:qFormat/>
    <w:rPr>
      <w:u w:val="none"/>
    </w:rPr>
  </w:style>
  <w:style w:type="character" w:styleId="List13Level0">
    <w:name w:val="List13Level0"/>
    <w:qFormat/>
    <w:rPr>
      <w:u w:val="none"/>
    </w:rPr>
  </w:style>
  <w:style w:type="character" w:styleId="List17Level0">
    <w:name w:val="List17Level0"/>
    <w:qFormat/>
    <w:rPr>
      <w:b w:val="false"/>
    </w:rPr>
  </w:style>
  <w:style w:type="character" w:styleId="List30Level0">
    <w:name w:val="List30Level0"/>
    <w:qFormat/>
    <w:rPr>
      <w:b w:val="false"/>
    </w:rPr>
  </w:style>
  <w:style w:type="character" w:styleId="List1Level0">
    <w:name w:val="List1Level0"/>
    <w:qFormat/>
    <w:rPr/>
  </w:style>
  <w:style w:type="character" w:styleId="List1Level1">
    <w:name w:val="List1Level1"/>
    <w:qFormat/>
    <w:rPr/>
  </w:style>
  <w:style w:type="character" w:styleId="List1Level2">
    <w:name w:val="List1Level2"/>
    <w:qFormat/>
    <w:rPr/>
  </w:style>
  <w:style w:type="character" w:styleId="List1Level3">
    <w:name w:val="List1Level3"/>
    <w:qFormat/>
    <w:rPr/>
  </w:style>
  <w:style w:type="character" w:styleId="List1Level4">
    <w:name w:val="List1Level4"/>
    <w:qFormat/>
    <w:rPr/>
  </w:style>
  <w:style w:type="character" w:styleId="List1Level5">
    <w:name w:val="List1Level5"/>
    <w:qFormat/>
    <w:rPr/>
  </w:style>
  <w:style w:type="character" w:styleId="List1Level6">
    <w:name w:val="List1Level6"/>
    <w:qFormat/>
    <w:rPr/>
  </w:style>
  <w:style w:type="character" w:styleId="List1Level7">
    <w:name w:val="List1Level7"/>
    <w:qFormat/>
    <w:rPr/>
  </w:style>
  <w:style w:type="character" w:styleId="List1Level8">
    <w:name w:val="List1Level8"/>
    <w:qFormat/>
    <w:rPr/>
  </w:style>
  <w:style w:type="character" w:styleId="List2Level0">
    <w:name w:val="List2Level0"/>
    <w:qFormat/>
    <w:rPr/>
  </w:style>
  <w:style w:type="character" w:styleId="List2Level1">
    <w:name w:val="List2Level1"/>
    <w:qFormat/>
    <w:rPr/>
  </w:style>
  <w:style w:type="character" w:styleId="List2Level2">
    <w:name w:val="List2Level2"/>
    <w:qFormat/>
    <w:rPr/>
  </w:style>
  <w:style w:type="character" w:styleId="List2Level3">
    <w:name w:val="List2Level3"/>
    <w:qFormat/>
    <w:rPr/>
  </w:style>
  <w:style w:type="character" w:styleId="List2Level5">
    <w:name w:val="List2Level5"/>
    <w:qFormat/>
    <w:rPr/>
  </w:style>
  <w:style w:type="character" w:styleId="List2Level6">
    <w:name w:val="List2Level6"/>
    <w:qFormat/>
    <w:rPr/>
  </w:style>
  <w:style w:type="character" w:styleId="List2Level7">
    <w:name w:val="List2Level7"/>
    <w:qFormat/>
    <w:rPr/>
  </w:style>
  <w:style w:type="character" w:styleId="List2Level8">
    <w:name w:val="List2Level8"/>
    <w:qFormat/>
    <w:rPr/>
  </w:style>
  <w:style w:type="character" w:styleId="List3Level1">
    <w:name w:val="List3Level1"/>
    <w:qFormat/>
    <w:rPr/>
  </w:style>
  <w:style w:type="character" w:styleId="List3Level2">
    <w:name w:val="List3Level2"/>
    <w:qFormat/>
    <w:rPr/>
  </w:style>
  <w:style w:type="character" w:styleId="List3Level3">
    <w:name w:val="List3Level3"/>
    <w:qFormat/>
    <w:rPr/>
  </w:style>
  <w:style w:type="character" w:styleId="List3Level4">
    <w:name w:val="List3Level4"/>
    <w:qFormat/>
    <w:rPr/>
  </w:style>
  <w:style w:type="character" w:styleId="List3Level5">
    <w:name w:val="List3Level5"/>
    <w:qFormat/>
    <w:rPr/>
  </w:style>
  <w:style w:type="character" w:styleId="List3Level6">
    <w:name w:val="List3Level6"/>
    <w:qFormat/>
    <w:rPr/>
  </w:style>
  <w:style w:type="character" w:styleId="List3Level7">
    <w:name w:val="List3Level7"/>
    <w:qFormat/>
    <w:rPr/>
  </w:style>
  <w:style w:type="character" w:styleId="List3Level8">
    <w:name w:val="List3Level8"/>
    <w:qFormat/>
    <w:rPr/>
  </w:style>
  <w:style w:type="character" w:styleId="List4Level0">
    <w:name w:val="List4Level0"/>
    <w:qFormat/>
    <w:rPr/>
  </w:style>
  <w:style w:type="character" w:styleId="List4Level1">
    <w:name w:val="List4Level1"/>
    <w:qFormat/>
    <w:rPr/>
  </w:style>
  <w:style w:type="character" w:styleId="List4Level2">
    <w:name w:val="List4Level2"/>
    <w:qFormat/>
    <w:rPr/>
  </w:style>
  <w:style w:type="character" w:styleId="List4Level3">
    <w:name w:val="List4Level3"/>
    <w:qFormat/>
    <w:rPr/>
  </w:style>
  <w:style w:type="character" w:styleId="List4Level5">
    <w:name w:val="List4Level5"/>
    <w:qFormat/>
    <w:rPr/>
  </w:style>
  <w:style w:type="character" w:styleId="List4Level6">
    <w:name w:val="List4Level6"/>
    <w:qFormat/>
    <w:rPr/>
  </w:style>
  <w:style w:type="character" w:styleId="List4Level7">
    <w:name w:val="List4Level7"/>
    <w:qFormat/>
    <w:rPr/>
  </w:style>
  <w:style w:type="character" w:styleId="List4Level8">
    <w:name w:val="List4Level8"/>
    <w:qFormat/>
    <w:rPr/>
  </w:style>
  <w:style w:type="character" w:styleId="List5Level2">
    <w:name w:val="List5Level2"/>
    <w:qFormat/>
    <w:rPr/>
  </w:style>
  <w:style w:type="character" w:styleId="List5Level3">
    <w:name w:val="List5Level3"/>
    <w:qFormat/>
    <w:rPr/>
  </w:style>
  <w:style w:type="character" w:styleId="List5Level4">
    <w:name w:val="List5Level4"/>
    <w:qFormat/>
    <w:rPr/>
  </w:style>
  <w:style w:type="character" w:styleId="List5Level5">
    <w:name w:val="List5Level5"/>
    <w:qFormat/>
    <w:rPr/>
  </w:style>
  <w:style w:type="character" w:styleId="List5Level6">
    <w:name w:val="List5Level6"/>
    <w:qFormat/>
    <w:rPr/>
  </w:style>
  <w:style w:type="character" w:styleId="List5Level7">
    <w:name w:val="List5Level7"/>
    <w:qFormat/>
    <w:rPr/>
  </w:style>
  <w:style w:type="character" w:styleId="List5Level8">
    <w:name w:val="List5Level8"/>
    <w:qFormat/>
    <w:rPr/>
  </w:style>
  <w:style w:type="character" w:styleId="List6Level1">
    <w:name w:val="List6Level1"/>
    <w:qFormat/>
    <w:rPr/>
  </w:style>
  <w:style w:type="character" w:styleId="List6Level2">
    <w:name w:val="List6Level2"/>
    <w:qFormat/>
    <w:rPr/>
  </w:style>
  <w:style w:type="character" w:styleId="List6Level3">
    <w:name w:val="List6Level3"/>
    <w:qFormat/>
    <w:rPr/>
  </w:style>
  <w:style w:type="character" w:styleId="List6Level4">
    <w:name w:val="List6Level4"/>
    <w:qFormat/>
    <w:rPr/>
  </w:style>
  <w:style w:type="character" w:styleId="List6Level5">
    <w:name w:val="List6Level5"/>
    <w:qFormat/>
    <w:rPr/>
  </w:style>
  <w:style w:type="character" w:styleId="List6Level6">
    <w:name w:val="List6Level6"/>
    <w:qFormat/>
    <w:rPr/>
  </w:style>
  <w:style w:type="character" w:styleId="List6Level7">
    <w:name w:val="List6Level7"/>
    <w:qFormat/>
    <w:rPr/>
  </w:style>
  <w:style w:type="character" w:styleId="List6Level8">
    <w:name w:val="List6Level8"/>
    <w:qFormat/>
    <w:rPr/>
  </w:style>
  <w:style w:type="character" w:styleId="List7Level2">
    <w:name w:val="List7Level2"/>
    <w:qFormat/>
    <w:rPr/>
  </w:style>
  <w:style w:type="character" w:styleId="List7Level3">
    <w:name w:val="List7Level3"/>
    <w:qFormat/>
    <w:rPr/>
  </w:style>
  <w:style w:type="character" w:styleId="List7Level4">
    <w:name w:val="List7Level4"/>
    <w:qFormat/>
    <w:rPr/>
  </w:style>
  <w:style w:type="character" w:styleId="List7Level5">
    <w:name w:val="List7Level5"/>
    <w:qFormat/>
    <w:rPr/>
  </w:style>
  <w:style w:type="character" w:styleId="List7Level6">
    <w:name w:val="List7Level6"/>
    <w:qFormat/>
    <w:rPr/>
  </w:style>
  <w:style w:type="character" w:styleId="List7Level7">
    <w:name w:val="List7Level7"/>
    <w:qFormat/>
    <w:rPr/>
  </w:style>
  <w:style w:type="character" w:styleId="List7Level8">
    <w:name w:val="List7Level8"/>
    <w:qFormat/>
    <w:rPr/>
  </w:style>
  <w:style w:type="character" w:styleId="List8Level1">
    <w:name w:val="List8Level1"/>
    <w:qFormat/>
    <w:rPr/>
  </w:style>
  <w:style w:type="character" w:styleId="List8Level2">
    <w:name w:val="List8Level2"/>
    <w:qFormat/>
    <w:rPr/>
  </w:style>
  <w:style w:type="character" w:styleId="List8Level3">
    <w:name w:val="List8Level3"/>
    <w:qFormat/>
    <w:rPr/>
  </w:style>
  <w:style w:type="character" w:styleId="List8Level4">
    <w:name w:val="List8Level4"/>
    <w:qFormat/>
    <w:rPr/>
  </w:style>
  <w:style w:type="character" w:styleId="List8Level5">
    <w:name w:val="List8Level5"/>
    <w:qFormat/>
    <w:rPr/>
  </w:style>
  <w:style w:type="character" w:styleId="List8Level6">
    <w:name w:val="List8Level6"/>
    <w:qFormat/>
    <w:rPr/>
  </w:style>
  <w:style w:type="character" w:styleId="List8Level7">
    <w:name w:val="List8Level7"/>
    <w:qFormat/>
    <w:rPr/>
  </w:style>
  <w:style w:type="character" w:styleId="List8Level8">
    <w:name w:val="List8Level8"/>
    <w:qFormat/>
    <w:rPr/>
  </w:style>
  <w:style w:type="character" w:styleId="List9Level0">
    <w:name w:val="List9Level0"/>
    <w:qFormat/>
    <w:rPr/>
  </w:style>
  <w:style w:type="character" w:styleId="List9Level1">
    <w:name w:val="List9Level1"/>
    <w:qFormat/>
    <w:rPr/>
  </w:style>
  <w:style w:type="character" w:styleId="List9Level2">
    <w:name w:val="List9Level2"/>
    <w:qFormat/>
    <w:rPr/>
  </w:style>
  <w:style w:type="character" w:styleId="List9Level3">
    <w:name w:val="List9Level3"/>
    <w:qFormat/>
    <w:rPr/>
  </w:style>
  <w:style w:type="character" w:styleId="List9Level4">
    <w:name w:val="List9Level4"/>
    <w:qFormat/>
    <w:rPr/>
  </w:style>
  <w:style w:type="character" w:styleId="List9Level5">
    <w:name w:val="List9Level5"/>
    <w:qFormat/>
    <w:rPr/>
  </w:style>
  <w:style w:type="character" w:styleId="List9Level6">
    <w:name w:val="List9Level6"/>
    <w:qFormat/>
    <w:rPr/>
  </w:style>
  <w:style w:type="character" w:styleId="List9Level7">
    <w:name w:val="List9Level7"/>
    <w:qFormat/>
    <w:rPr/>
  </w:style>
  <w:style w:type="character" w:styleId="List9Level8">
    <w:name w:val="List9Level8"/>
    <w:qFormat/>
    <w:rPr/>
  </w:style>
  <w:style w:type="character" w:styleId="List10Level0">
    <w:name w:val="List10Level0"/>
    <w:qFormat/>
    <w:rPr/>
  </w:style>
  <w:style w:type="character" w:styleId="List10Level1">
    <w:name w:val="List10Level1"/>
    <w:qFormat/>
    <w:rPr/>
  </w:style>
  <w:style w:type="character" w:styleId="List10Level2">
    <w:name w:val="List10Level2"/>
    <w:qFormat/>
    <w:rPr/>
  </w:style>
  <w:style w:type="character" w:styleId="List10Level3">
    <w:name w:val="List10Level3"/>
    <w:qFormat/>
    <w:rPr/>
  </w:style>
  <w:style w:type="character" w:styleId="List10Level4">
    <w:name w:val="List10Level4"/>
    <w:qFormat/>
    <w:rPr/>
  </w:style>
  <w:style w:type="character" w:styleId="List10Level5">
    <w:name w:val="List10Level5"/>
    <w:qFormat/>
    <w:rPr/>
  </w:style>
  <w:style w:type="character" w:styleId="List10Level6">
    <w:name w:val="List10Level6"/>
    <w:qFormat/>
    <w:rPr/>
  </w:style>
  <w:style w:type="character" w:styleId="List10Level7">
    <w:name w:val="List10Level7"/>
    <w:qFormat/>
    <w:rPr/>
  </w:style>
  <w:style w:type="character" w:styleId="List10Level8">
    <w:name w:val="List10Level8"/>
    <w:qFormat/>
    <w:rPr/>
  </w:style>
  <w:style w:type="character" w:styleId="List11Level0">
    <w:name w:val="List11Level0"/>
    <w:qFormat/>
    <w:rPr/>
  </w:style>
  <w:style w:type="character" w:styleId="List11Level1">
    <w:name w:val="List11Level1"/>
    <w:qFormat/>
    <w:rPr/>
  </w:style>
  <w:style w:type="character" w:styleId="List11Level2">
    <w:name w:val="List11Level2"/>
    <w:qFormat/>
    <w:rPr/>
  </w:style>
  <w:style w:type="character" w:styleId="List11Level3">
    <w:name w:val="List11Level3"/>
    <w:qFormat/>
    <w:rPr/>
  </w:style>
  <w:style w:type="character" w:styleId="List11Level4">
    <w:name w:val="List11Level4"/>
    <w:qFormat/>
    <w:rPr/>
  </w:style>
  <w:style w:type="character" w:styleId="List11Level5">
    <w:name w:val="List11Level5"/>
    <w:qFormat/>
    <w:rPr/>
  </w:style>
  <w:style w:type="character" w:styleId="List11Level6">
    <w:name w:val="List11Level6"/>
    <w:qFormat/>
    <w:rPr/>
  </w:style>
  <w:style w:type="character" w:styleId="List11Level7">
    <w:name w:val="List11Level7"/>
    <w:qFormat/>
    <w:rPr/>
  </w:style>
  <w:style w:type="character" w:styleId="List11Level8">
    <w:name w:val="List11Level8"/>
    <w:qFormat/>
    <w:rPr/>
  </w:style>
  <w:style w:type="character" w:styleId="List12Level1">
    <w:name w:val="List12Level1"/>
    <w:qFormat/>
    <w:rPr/>
  </w:style>
  <w:style w:type="character" w:styleId="List12Level3">
    <w:name w:val="List12Level3"/>
    <w:qFormat/>
    <w:rPr/>
  </w:style>
  <w:style w:type="character" w:styleId="List12Level4">
    <w:name w:val="List12Level4"/>
    <w:qFormat/>
    <w:rPr/>
  </w:style>
  <w:style w:type="character" w:styleId="List12Level5">
    <w:name w:val="List12Level5"/>
    <w:qFormat/>
    <w:rPr/>
  </w:style>
  <w:style w:type="character" w:styleId="List12Level6">
    <w:name w:val="List12Level6"/>
    <w:qFormat/>
    <w:rPr/>
  </w:style>
  <w:style w:type="character" w:styleId="List12Level7">
    <w:name w:val="List12Level7"/>
    <w:qFormat/>
    <w:rPr/>
  </w:style>
  <w:style w:type="character" w:styleId="List12Level8">
    <w:name w:val="List12Level8"/>
    <w:qFormat/>
    <w:rPr/>
  </w:style>
  <w:style w:type="character" w:styleId="List13Level1">
    <w:name w:val="List13Level1"/>
    <w:qFormat/>
    <w:rPr/>
  </w:style>
  <w:style w:type="character" w:styleId="List13Level2">
    <w:name w:val="List13Level2"/>
    <w:qFormat/>
    <w:rPr/>
  </w:style>
  <w:style w:type="character" w:styleId="List13Level3">
    <w:name w:val="List13Level3"/>
    <w:qFormat/>
    <w:rPr/>
  </w:style>
  <w:style w:type="character" w:styleId="List13Level4">
    <w:name w:val="List13Level4"/>
    <w:qFormat/>
    <w:rPr/>
  </w:style>
  <w:style w:type="character" w:styleId="List13Level5">
    <w:name w:val="List13Level5"/>
    <w:qFormat/>
    <w:rPr/>
  </w:style>
  <w:style w:type="character" w:styleId="List13Level6">
    <w:name w:val="List13Level6"/>
    <w:qFormat/>
    <w:rPr/>
  </w:style>
  <w:style w:type="character" w:styleId="List13Level7">
    <w:name w:val="List13Level7"/>
    <w:qFormat/>
    <w:rPr/>
  </w:style>
  <w:style w:type="character" w:styleId="List13Level8">
    <w:name w:val="List13Level8"/>
    <w:qFormat/>
    <w:rPr/>
  </w:style>
  <w:style w:type="character" w:styleId="List14Level0">
    <w:name w:val="List14Level0"/>
    <w:qFormat/>
    <w:rPr/>
  </w:style>
  <w:style w:type="character" w:styleId="List14Level1">
    <w:name w:val="List14Level1"/>
    <w:qFormat/>
    <w:rPr/>
  </w:style>
  <w:style w:type="character" w:styleId="List14Level2">
    <w:name w:val="List14Level2"/>
    <w:qFormat/>
    <w:rPr/>
  </w:style>
  <w:style w:type="character" w:styleId="List14Level3">
    <w:name w:val="List14Level3"/>
    <w:qFormat/>
    <w:rPr/>
  </w:style>
  <w:style w:type="character" w:styleId="List14Level4">
    <w:name w:val="List14Level4"/>
    <w:qFormat/>
    <w:rPr/>
  </w:style>
  <w:style w:type="character" w:styleId="List14Level5">
    <w:name w:val="List14Level5"/>
    <w:qFormat/>
    <w:rPr/>
  </w:style>
  <w:style w:type="character" w:styleId="List14Level6">
    <w:name w:val="List14Level6"/>
    <w:qFormat/>
    <w:rPr/>
  </w:style>
  <w:style w:type="character" w:styleId="List14Level7">
    <w:name w:val="List14Level7"/>
    <w:qFormat/>
    <w:rPr/>
  </w:style>
  <w:style w:type="character" w:styleId="List14Level8">
    <w:name w:val="List14Level8"/>
    <w:qFormat/>
    <w:rPr/>
  </w:style>
  <w:style w:type="character" w:styleId="List15Level0">
    <w:name w:val="List15Level0"/>
    <w:qFormat/>
    <w:rPr/>
  </w:style>
  <w:style w:type="character" w:styleId="List15Level1">
    <w:name w:val="List15Level1"/>
    <w:qFormat/>
    <w:rPr/>
  </w:style>
  <w:style w:type="character" w:styleId="List15Level2">
    <w:name w:val="List15Level2"/>
    <w:qFormat/>
    <w:rPr/>
  </w:style>
  <w:style w:type="character" w:styleId="List15Level3">
    <w:name w:val="List15Level3"/>
    <w:qFormat/>
    <w:rPr/>
  </w:style>
  <w:style w:type="character" w:styleId="List15Level4">
    <w:name w:val="List15Level4"/>
    <w:qFormat/>
    <w:rPr/>
  </w:style>
  <w:style w:type="character" w:styleId="List15Level5">
    <w:name w:val="List15Level5"/>
    <w:qFormat/>
    <w:rPr/>
  </w:style>
  <w:style w:type="character" w:styleId="List15Level6">
    <w:name w:val="List15Level6"/>
    <w:qFormat/>
    <w:rPr/>
  </w:style>
  <w:style w:type="character" w:styleId="List15Level7">
    <w:name w:val="List15Level7"/>
    <w:qFormat/>
    <w:rPr/>
  </w:style>
  <w:style w:type="character" w:styleId="List15Level8">
    <w:name w:val="List15Level8"/>
    <w:qFormat/>
    <w:rPr/>
  </w:style>
  <w:style w:type="character" w:styleId="List16Level0">
    <w:name w:val="List16Level0"/>
    <w:qFormat/>
    <w:rPr/>
  </w:style>
  <w:style w:type="character" w:styleId="List16Level1">
    <w:name w:val="List16Level1"/>
    <w:qFormat/>
    <w:rPr/>
  </w:style>
  <w:style w:type="character" w:styleId="List16Level2">
    <w:name w:val="List16Level2"/>
    <w:qFormat/>
    <w:rPr/>
  </w:style>
  <w:style w:type="character" w:styleId="List16Level3">
    <w:name w:val="List16Level3"/>
    <w:qFormat/>
    <w:rPr/>
  </w:style>
  <w:style w:type="character" w:styleId="List16Level4">
    <w:name w:val="List16Level4"/>
    <w:qFormat/>
    <w:rPr/>
  </w:style>
  <w:style w:type="character" w:styleId="List16Level5">
    <w:name w:val="List16Level5"/>
    <w:qFormat/>
    <w:rPr/>
  </w:style>
  <w:style w:type="character" w:styleId="List16Level6">
    <w:name w:val="List16Level6"/>
    <w:qFormat/>
    <w:rPr/>
  </w:style>
  <w:style w:type="character" w:styleId="List16Level7">
    <w:name w:val="List16Level7"/>
    <w:qFormat/>
    <w:rPr/>
  </w:style>
  <w:style w:type="character" w:styleId="List16Level8">
    <w:name w:val="List16Level8"/>
    <w:qFormat/>
    <w:rPr/>
  </w:style>
  <w:style w:type="character" w:styleId="List17Level1">
    <w:name w:val="List17Level1"/>
    <w:qFormat/>
    <w:rPr/>
  </w:style>
  <w:style w:type="character" w:styleId="List17Level2">
    <w:name w:val="List17Level2"/>
    <w:qFormat/>
    <w:rPr/>
  </w:style>
  <w:style w:type="character" w:styleId="List17Level3">
    <w:name w:val="List17Level3"/>
    <w:qFormat/>
    <w:rPr/>
  </w:style>
  <w:style w:type="character" w:styleId="List17Level4">
    <w:name w:val="List17Level4"/>
    <w:qFormat/>
    <w:rPr/>
  </w:style>
  <w:style w:type="character" w:styleId="List17Level5">
    <w:name w:val="List17Level5"/>
    <w:qFormat/>
    <w:rPr/>
  </w:style>
  <w:style w:type="character" w:styleId="List17Level6">
    <w:name w:val="List17Level6"/>
    <w:qFormat/>
    <w:rPr/>
  </w:style>
  <w:style w:type="character" w:styleId="List17Level7">
    <w:name w:val="List17Level7"/>
    <w:qFormat/>
    <w:rPr/>
  </w:style>
  <w:style w:type="character" w:styleId="List17Level8">
    <w:name w:val="List17Level8"/>
    <w:qFormat/>
    <w:rPr/>
  </w:style>
  <w:style w:type="character" w:styleId="List18Level0">
    <w:name w:val="List18Level0"/>
    <w:qFormat/>
    <w:rPr/>
  </w:style>
  <w:style w:type="character" w:styleId="List18Level1">
    <w:name w:val="List18Level1"/>
    <w:qFormat/>
    <w:rPr/>
  </w:style>
  <w:style w:type="character" w:styleId="List18Level2">
    <w:name w:val="List18Level2"/>
    <w:qFormat/>
    <w:rPr/>
  </w:style>
  <w:style w:type="character" w:styleId="List18Level3">
    <w:name w:val="List18Level3"/>
    <w:qFormat/>
    <w:rPr/>
  </w:style>
  <w:style w:type="character" w:styleId="List18Level4">
    <w:name w:val="List18Level4"/>
    <w:qFormat/>
    <w:rPr/>
  </w:style>
  <w:style w:type="character" w:styleId="List18Level5">
    <w:name w:val="List18Level5"/>
    <w:qFormat/>
    <w:rPr/>
  </w:style>
  <w:style w:type="character" w:styleId="List18Level6">
    <w:name w:val="List18Level6"/>
    <w:qFormat/>
    <w:rPr/>
  </w:style>
  <w:style w:type="character" w:styleId="List18Level7">
    <w:name w:val="List18Level7"/>
    <w:qFormat/>
    <w:rPr/>
  </w:style>
  <w:style w:type="character" w:styleId="List18Level8">
    <w:name w:val="List18Level8"/>
    <w:qFormat/>
    <w:rPr/>
  </w:style>
  <w:style w:type="character" w:styleId="List19Level0">
    <w:name w:val="List19Level0"/>
    <w:qFormat/>
    <w:rPr/>
  </w:style>
  <w:style w:type="character" w:styleId="List19Level1">
    <w:name w:val="List19Level1"/>
    <w:qFormat/>
    <w:rPr/>
  </w:style>
  <w:style w:type="character" w:styleId="List19Level2">
    <w:name w:val="List19Level2"/>
    <w:qFormat/>
    <w:rPr/>
  </w:style>
  <w:style w:type="character" w:styleId="List19Level3">
    <w:name w:val="List19Level3"/>
    <w:qFormat/>
    <w:rPr/>
  </w:style>
  <w:style w:type="character" w:styleId="List19Level4">
    <w:name w:val="List19Level4"/>
    <w:qFormat/>
    <w:rPr/>
  </w:style>
  <w:style w:type="character" w:styleId="List19Level5">
    <w:name w:val="List19Level5"/>
    <w:qFormat/>
    <w:rPr/>
  </w:style>
  <w:style w:type="character" w:styleId="List19Level6">
    <w:name w:val="List19Level6"/>
    <w:qFormat/>
    <w:rPr/>
  </w:style>
  <w:style w:type="character" w:styleId="List19Level7">
    <w:name w:val="List19Level7"/>
    <w:qFormat/>
    <w:rPr/>
  </w:style>
  <w:style w:type="character" w:styleId="List19Level8">
    <w:name w:val="List19Level8"/>
    <w:qFormat/>
    <w:rPr/>
  </w:style>
  <w:style w:type="character" w:styleId="List20Level0">
    <w:name w:val="List20Level0"/>
    <w:qFormat/>
    <w:rPr/>
  </w:style>
  <w:style w:type="character" w:styleId="List20Level1">
    <w:name w:val="List20Level1"/>
    <w:qFormat/>
    <w:rPr/>
  </w:style>
  <w:style w:type="character" w:styleId="List20Level2">
    <w:name w:val="List20Level2"/>
    <w:qFormat/>
    <w:rPr/>
  </w:style>
  <w:style w:type="character" w:styleId="List20Level3">
    <w:name w:val="List20Level3"/>
    <w:qFormat/>
    <w:rPr/>
  </w:style>
  <w:style w:type="character" w:styleId="List20Level4">
    <w:name w:val="List20Level4"/>
    <w:qFormat/>
    <w:rPr/>
  </w:style>
  <w:style w:type="character" w:styleId="List20Level5">
    <w:name w:val="List20Level5"/>
    <w:qFormat/>
    <w:rPr/>
  </w:style>
  <w:style w:type="character" w:styleId="List20Level6">
    <w:name w:val="List20Level6"/>
    <w:qFormat/>
    <w:rPr/>
  </w:style>
  <w:style w:type="character" w:styleId="List20Level7">
    <w:name w:val="List20Level7"/>
    <w:qFormat/>
    <w:rPr/>
  </w:style>
  <w:style w:type="character" w:styleId="List20Level8">
    <w:name w:val="List20Level8"/>
    <w:qFormat/>
    <w:rPr/>
  </w:style>
  <w:style w:type="character" w:styleId="List21Level0">
    <w:name w:val="List21Level0"/>
    <w:qFormat/>
    <w:rPr/>
  </w:style>
  <w:style w:type="character" w:styleId="List21Level1">
    <w:name w:val="List21Level1"/>
    <w:qFormat/>
    <w:rPr/>
  </w:style>
  <w:style w:type="character" w:styleId="List21Level2">
    <w:name w:val="List21Level2"/>
    <w:qFormat/>
    <w:rPr/>
  </w:style>
  <w:style w:type="character" w:styleId="List21Level3">
    <w:name w:val="List21Level3"/>
    <w:qFormat/>
    <w:rPr/>
  </w:style>
  <w:style w:type="character" w:styleId="List21Level4">
    <w:name w:val="List21Level4"/>
    <w:qFormat/>
    <w:rPr/>
  </w:style>
  <w:style w:type="character" w:styleId="List21Level5">
    <w:name w:val="List21Level5"/>
    <w:qFormat/>
    <w:rPr/>
  </w:style>
  <w:style w:type="character" w:styleId="List21Level6">
    <w:name w:val="List21Level6"/>
    <w:qFormat/>
    <w:rPr/>
  </w:style>
  <w:style w:type="character" w:styleId="List21Level7">
    <w:name w:val="List21Level7"/>
    <w:qFormat/>
    <w:rPr/>
  </w:style>
  <w:style w:type="character" w:styleId="List21Level8">
    <w:name w:val="List21Level8"/>
    <w:qFormat/>
    <w:rPr/>
  </w:style>
  <w:style w:type="character" w:styleId="List22Level0">
    <w:name w:val="List22Level0"/>
    <w:qFormat/>
    <w:rPr/>
  </w:style>
  <w:style w:type="character" w:styleId="List22Level1">
    <w:name w:val="List22Level1"/>
    <w:qFormat/>
    <w:rPr/>
  </w:style>
  <w:style w:type="character" w:styleId="List22Level2">
    <w:name w:val="List22Level2"/>
    <w:qFormat/>
    <w:rPr/>
  </w:style>
  <w:style w:type="character" w:styleId="List22Level3">
    <w:name w:val="List22Level3"/>
    <w:qFormat/>
    <w:rPr/>
  </w:style>
  <w:style w:type="character" w:styleId="List22Level4">
    <w:name w:val="List22Level4"/>
    <w:qFormat/>
    <w:rPr/>
  </w:style>
  <w:style w:type="character" w:styleId="List22Level5">
    <w:name w:val="List22Level5"/>
    <w:qFormat/>
    <w:rPr/>
  </w:style>
  <w:style w:type="character" w:styleId="List22Level6">
    <w:name w:val="List22Level6"/>
    <w:qFormat/>
    <w:rPr/>
  </w:style>
  <w:style w:type="character" w:styleId="List22Level7">
    <w:name w:val="List22Level7"/>
    <w:qFormat/>
    <w:rPr/>
  </w:style>
  <w:style w:type="character" w:styleId="List22Level8">
    <w:name w:val="List22Level8"/>
    <w:qFormat/>
    <w:rPr/>
  </w:style>
  <w:style w:type="character" w:styleId="List23Level0">
    <w:name w:val="List23Level0"/>
    <w:qFormat/>
    <w:rPr/>
  </w:style>
  <w:style w:type="character" w:styleId="List23Level1">
    <w:name w:val="List23Level1"/>
    <w:qFormat/>
    <w:rPr/>
  </w:style>
  <w:style w:type="character" w:styleId="List23Level2">
    <w:name w:val="List23Level2"/>
    <w:qFormat/>
    <w:rPr/>
  </w:style>
  <w:style w:type="character" w:styleId="List23Level3">
    <w:name w:val="List23Level3"/>
    <w:qFormat/>
    <w:rPr/>
  </w:style>
  <w:style w:type="character" w:styleId="List23Level4">
    <w:name w:val="List23Level4"/>
    <w:qFormat/>
    <w:rPr/>
  </w:style>
  <w:style w:type="character" w:styleId="List23Level5">
    <w:name w:val="List23Level5"/>
    <w:qFormat/>
    <w:rPr/>
  </w:style>
  <w:style w:type="character" w:styleId="List23Level6">
    <w:name w:val="List23Level6"/>
    <w:qFormat/>
    <w:rPr/>
  </w:style>
  <w:style w:type="character" w:styleId="List23Level7">
    <w:name w:val="List23Level7"/>
    <w:qFormat/>
    <w:rPr/>
  </w:style>
  <w:style w:type="character" w:styleId="List23Level8">
    <w:name w:val="List23Level8"/>
    <w:qFormat/>
    <w:rPr/>
  </w:style>
  <w:style w:type="character" w:styleId="List24Level0">
    <w:name w:val="List24Level0"/>
    <w:qFormat/>
    <w:rPr/>
  </w:style>
  <w:style w:type="character" w:styleId="List24Level1">
    <w:name w:val="List24Level1"/>
    <w:qFormat/>
    <w:rPr/>
  </w:style>
  <w:style w:type="character" w:styleId="List24Level2">
    <w:name w:val="List24Level2"/>
    <w:qFormat/>
    <w:rPr/>
  </w:style>
  <w:style w:type="character" w:styleId="List24Level3">
    <w:name w:val="List24Level3"/>
    <w:qFormat/>
    <w:rPr/>
  </w:style>
  <w:style w:type="character" w:styleId="List24Level4">
    <w:name w:val="List24Level4"/>
    <w:qFormat/>
    <w:rPr/>
  </w:style>
  <w:style w:type="character" w:styleId="List24Level5">
    <w:name w:val="List24Level5"/>
    <w:qFormat/>
    <w:rPr/>
  </w:style>
  <w:style w:type="character" w:styleId="List24Level6">
    <w:name w:val="List24Level6"/>
    <w:qFormat/>
    <w:rPr/>
  </w:style>
  <w:style w:type="character" w:styleId="List24Level7">
    <w:name w:val="List24Level7"/>
    <w:qFormat/>
    <w:rPr/>
  </w:style>
  <w:style w:type="character" w:styleId="List24Level8">
    <w:name w:val="List24Level8"/>
    <w:qFormat/>
    <w:rPr/>
  </w:style>
  <w:style w:type="character" w:styleId="List25Level0">
    <w:name w:val="List25Level0"/>
    <w:qFormat/>
    <w:rPr/>
  </w:style>
  <w:style w:type="character" w:styleId="List25Level1">
    <w:name w:val="List25Level1"/>
    <w:qFormat/>
    <w:rPr/>
  </w:style>
  <w:style w:type="character" w:styleId="List25Level2">
    <w:name w:val="List25Level2"/>
    <w:qFormat/>
    <w:rPr/>
  </w:style>
  <w:style w:type="character" w:styleId="List25Level3">
    <w:name w:val="List25Level3"/>
    <w:qFormat/>
    <w:rPr/>
  </w:style>
  <w:style w:type="character" w:styleId="List25Level4">
    <w:name w:val="List25Level4"/>
    <w:qFormat/>
    <w:rPr/>
  </w:style>
  <w:style w:type="character" w:styleId="List25Level5">
    <w:name w:val="List25Level5"/>
    <w:qFormat/>
    <w:rPr/>
  </w:style>
  <w:style w:type="character" w:styleId="List25Level6">
    <w:name w:val="List25Level6"/>
    <w:qFormat/>
    <w:rPr/>
  </w:style>
  <w:style w:type="character" w:styleId="List25Level7">
    <w:name w:val="List25Level7"/>
    <w:qFormat/>
    <w:rPr/>
  </w:style>
  <w:style w:type="character" w:styleId="List25Level8">
    <w:name w:val="List25Level8"/>
    <w:qFormat/>
    <w:rPr/>
  </w:style>
  <w:style w:type="character" w:styleId="List26Level0">
    <w:name w:val="List26Level0"/>
    <w:qFormat/>
    <w:rPr/>
  </w:style>
  <w:style w:type="character" w:styleId="List26Level1">
    <w:name w:val="List26Level1"/>
    <w:qFormat/>
    <w:rPr/>
  </w:style>
  <w:style w:type="character" w:styleId="List26Level2">
    <w:name w:val="List26Level2"/>
    <w:qFormat/>
    <w:rPr/>
  </w:style>
  <w:style w:type="character" w:styleId="List26Level3">
    <w:name w:val="List26Level3"/>
    <w:qFormat/>
    <w:rPr/>
  </w:style>
  <w:style w:type="character" w:styleId="List26Level4">
    <w:name w:val="List26Level4"/>
    <w:qFormat/>
    <w:rPr/>
  </w:style>
  <w:style w:type="character" w:styleId="List26Level5">
    <w:name w:val="List26Level5"/>
    <w:qFormat/>
    <w:rPr/>
  </w:style>
  <w:style w:type="character" w:styleId="List26Level6">
    <w:name w:val="List26Level6"/>
    <w:qFormat/>
    <w:rPr/>
  </w:style>
  <w:style w:type="character" w:styleId="List26Level7">
    <w:name w:val="List26Level7"/>
    <w:qFormat/>
    <w:rPr/>
  </w:style>
  <w:style w:type="character" w:styleId="List26Level8">
    <w:name w:val="List26Level8"/>
    <w:qFormat/>
    <w:rPr/>
  </w:style>
  <w:style w:type="character" w:styleId="List27Level0">
    <w:name w:val="List27Level0"/>
    <w:qFormat/>
    <w:rPr/>
  </w:style>
  <w:style w:type="character" w:styleId="List27Level1">
    <w:name w:val="List27Level1"/>
    <w:qFormat/>
    <w:rPr/>
  </w:style>
  <w:style w:type="character" w:styleId="List27Level2">
    <w:name w:val="List27Level2"/>
    <w:qFormat/>
    <w:rPr/>
  </w:style>
  <w:style w:type="character" w:styleId="List27Level3">
    <w:name w:val="List27Level3"/>
    <w:qFormat/>
    <w:rPr/>
  </w:style>
  <w:style w:type="character" w:styleId="List27Level4">
    <w:name w:val="List27Level4"/>
    <w:qFormat/>
    <w:rPr/>
  </w:style>
  <w:style w:type="character" w:styleId="List27Level5">
    <w:name w:val="List27Level5"/>
    <w:qFormat/>
    <w:rPr/>
  </w:style>
  <w:style w:type="character" w:styleId="List27Level6">
    <w:name w:val="List27Level6"/>
    <w:qFormat/>
    <w:rPr/>
  </w:style>
  <w:style w:type="character" w:styleId="List27Level7">
    <w:name w:val="List27Level7"/>
    <w:qFormat/>
    <w:rPr/>
  </w:style>
  <w:style w:type="character" w:styleId="List27Level8">
    <w:name w:val="List27Level8"/>
    <w:qFormat/>
    <w:rPr/>
  </w:style>
  <w:style w:type="character" w:styleId="List28Level0">
    <w:name w:val="List28Level0"/>
    <w:qFormat/>
    <w:rPr/>
  </w:style>
  <w:style w:type="character" w:styleId="List28Level1">
    <w:name w:val="List28Level1"/>
    <w:qFormat/>
    <w:rPr/>
  </w:style>
  <w:style w:type="character" w:styleId="List28Level2">
    <w:name w:val="List28Level2"/>
    <w:qFormat/>
    <w:rPr/>
  </w:style>
  <w:style w:type="character" w:styleId="List28Level3">
    <w:name w:val="List28Level3"/>
    <w:qFormat/>
    <w:rPr/>
  </w:style>
  <w:style w:type="character" w:styleId="List28Level4">
    <w:name w:val="List28Level4"/>
    <w:qFormat/>
    <w:rPr/>
  </w:style>
  <w:style w:type="character" w:styleId="List28Level5">
    <w:name w:val="List28Level5"/>
    <w:qFormat/>
    <w:rPr/>
  </w:style>
  <w:style w:type="character" w:styleId="List28Level6">
    <w:name w:val="List28Level6"/>
    <w:qFormat/>
    <w:rPr/>
  </w:style>
  <w:style w:type="character" w:styleId="List28Level7">
    <w:name w:val="List28Level7"/>
    <w:qFormat/>
    <w:rPr/>
  </w:style>
  <w:style w:type="character" w:styleId="List28Level8">
    <w:name w:val="List28Level8"/>
    <w:qFormat/>
    <w:rPr/>
  </w:style>
  <w:style w:type="character" w:styleId="List29Level0">
    <w:name w:val="List29Level0"/>
    <w:qFormat/>
    <w:rPr/>
  </w:style>
  <w:style w:type="character" w:styleId="List29Level1">
    <w:name w:val="List29Level1"/>
    <w:qFormat/>
    <w:rPr/>
  </w:style>
  <w:style w:type="character" w:styleId="List29Level2">
    <w:name w:val="List29Level2"/>
    <w:qFormat/>
    <w:rPr/>
  </w:style>
  <w:style w:type="character" w:styleId="List29Level3">
    <w:name w:val="List29Level3"/>
    <w:qFormat/>
    <w:rPr/>
  </w:style>
  <w:style w:type="character" w:styleId="List29Level4">
    <w:name w:val="List29Level4"/>
    <w:qFormat/>
    <w:rPr/>
  </w:style>
  <w:style w:type="character" w:styleId="List29Level5">
    <w:name w:val="List29Level5"/>
    <w:qFormat/>
    <w:rPr/>
  </w:style>
  <w:style w:type="character" w:styleId="List29Level6">
    <w:name w:val="List29Level6"/>
    <w:qFormat/>
    <w:rPr/>
  </w:style>
  <w:style w:type="character" w:styleId="List29Level7">
    <w:name w:val="List29Level7"/>
    <w:qFormat/>
    <w:rPr/>
  </w:style>
  <w:style w:type="character" w:styleId="List29Level8">
    <w:name w:val="List29Level8"/>
    <w:qFormat/>
    <w:rPr/>
  </w:style>
  <w:style w:type="character" w:styleId="List30Level1">
    <w:name w:val="List30Level1"/>
    <w:qFormat/>
    <w:rPr/>
  </w:style>
  <w:style w:type="character" w:styleId="List30Level2">
    <w:name w:val="List30Level2"/>
    <w:qFormat/>
    <w:rPr/>
  </w:style>
  <w:style w:type="character" w:styleId="List30Level3">
    <w:name w:val="List30Level3"/>
    <w:qFormat/>
    <w:rPr/>
  </w:style>
  <w:style w:type="character" w:styleId="List30Level4">
    <w:name w:val="List30Level4"/>
    <w:qFormat/>
    <w:rPr/>
  </w:style>
  <w:style w:type="character" w:styleId="List30Level5">
    <w:name w:val="List30Level5"/>
    <w:qFormat/>
    <w:rPr/>
  </w:style>
  <w:style w:type="character" w:styleId="List30Level6">
    <w:name w:val="List30Level6"/>
    <w:qFormat/>
    <w:rPr/>
  </w:style>
  <w:style w:type="character" w:styleId="List30Level7">
    <w:name w:val="List30Level7"/>
    <w:qFormat/>
    <w:rPr/>
  </w:style>
  <w:style w:type="character" w:styleId="List30Level8">
    <w:name w:val="List30Level8"/>
    <w:qFormat/>
    <w:rPr/>
  </w:style>
  <w:style w:type="character" w:styleId="Style15">
    <w:name w:val="註腳字元"/>
    <w:qFormat/>
    <w:rPr/>
  </w:style>
  <w:style w:type="character" w:styleId="Style16">
    <w:name w:val="註腳錨定"/>
    <w:rPr>
      <w:vertAlign w:val="superscript"/>
    </w:rPr>
  </w:style>
  <w:style w:type="paragraph" w:styleId="NoList">
    <w:name w:val="No List"/>
    <w:qFormat/>
    <w:pPr>
      <w:widowControl w:val="false"/>
      <w:kinsoku w:val="true"/>
      <w:overflowPunct w:val="true"/>
      <w:autoSpaceDE w:val="true"/>
      <w:bidi w:val="0"/>
    </w:pPr>
    <w:rPr>
      <w:rFonts w:ascii="Times New Roman" w:hAnsi="Times New Roman" w:eastAsia="新細明體" w:cs="Times New Roman"/>
      <w:color w:val="auto"/>
      <w:sz w:val="20"/>
      <w:szCs w:val="20"/>
      <w:lang w:val="zh-TW" w:eastAsia="zh-TW" w:bidi="zh-TW"/>
    </w:rPr>
  </w:style>
  <w:style w:type="paragraph" w:styleId="Style17">
    <w:name w:val="說明條列"/>
    <w:basedOn w:val="Normal"/>
    <w:qFormat/>
    <w:pPr>
      <w:widowControl/>
    </w:pPr>
    <w:rPr>
      <w:rFonts w:eastAsia="標楷體"/>
      <w:sz w:val="32"/>
      <w:szCs w:val="32"/>
    </w:rPr>
  </w:style>
  <w:style w:type="paragraph" w:styleId="Style18">
    <w:name w:val="一"/>
    <w:basedOn w:val="Normal"/>
    <w:qFormat/>
    <w:pPr>
      <w:ind w:left="442" w:right="0" w:hanging="442"/>
      <w:jc w:val="distribute"/>
      <w:textAlignment w:val="center"/>
    </w:pPr>
    <w:rPr>
      <w:sz w:val="22"/>
      <w:szCs w:val="22"/>
    </w:rPr>
  </w:style>
  <w:style w:type="paragraph" w:styleId="BodyTextIndent">
    <w:name w:val="Body Text Indent"/>
    <w:basedOn w:val="Normal"/>
    <w:qFormat/>
    <w:pPr>
      <w:ind w:left="540" w:right="0" w:hanging="540"/>
    </w:pPr>
    <w:rPr/>
  </w:style>
  <w:style w:type="paragraph" w:styleId="Style19">
    <w:name w:val="外框內容"/>
    <w:basedOn w:val="Normal"/>
    <w:qFormat/>
    <w:pPr/>
    <w:rPr/>
  </w:style>
  <w:style w:type="numbering" w:styleId="LS1">
    <w:name w:val="LS1"/>
    <w:qFormat/>
  </w:style>
  <w:style w:type="numbering" w:styleId="LS2">
    <w:name w:val="LS2"/>
    <w:qFormat/>
  </w:style>
  <w:style w:type="numbering" w:styleId="LS3">
    <w:name w:val="LS3"/>
    <w:qFormat/>
  </w:style>
  <w:style w:type="numbering" w:styleId="LS4">
    <w:name w:val="LS4"/>
    <w:qFormat/>
  </w:style>
  <w:style w:type="numbering" w:styleId="LS5">
    <w:name w:val="LS5"/>
    <w:qFormat/>
  </w:style>
  <w:style w:type="numbering" w:styleId="LS6">
    <w:name w:val="LS6"/>
    <w:qFormat/>
  </w:style>
  <w:style w:type="numbering" w:styleId="LS7">
    <w:name w:val="LS7"/>
    <w:qFormat/>
  </w:style>
  <w:style w:type="numbering" w:styleId="LS8">
    <w:name w:val="LS8"/>
    <w:qFormat/>
  </w:style>
  <w:style w:type="numbering" w:styleId="LS9">
    <w:name w:val="LS9"/>
    <w:qFormat/>
  </w:style>
  <w:style w:type="numbering" w:styleId="LS10">
    <w:name w:val="LS10"/>
    <w:qFormat/>
  </w:style>
  <w:style w:type="numbering" w:styleId="LS11">
    <w:name w:val="LS11"/>
    <w:qFormat/>
  </w:style>
  <w:style w:type="numbering" w:styleId="LS12">
    <w:name w:val="LS12"/>
    <w:qFormat/>
  </w:style>
  <w:style w:type="numbering" w:styleId="LS13">
    <w:name w:val="LS13"/>
    <w:qFormat/>
  </w:style>
  <w:style w:type="numbering" w:styleId="LS14">
    <w:name w:val="LS14"/>
    <w:qFormat/>
  </w:style>
  <w:style w:type="numbering" w:styleId="LS15">
    <w:name w:val="LS15"/>
    <w:qFormat/>
  </w:style>
  <w:style w:type="numbering" w:styleId="LS16">
    <w:name w:val="LS16"/>
    <w:qFormat/>
  </w:style>
  <w:style w:type="numbering" w:styleId="LS17">
    <w:name w:val="LS17"/>
    <w:qFormat/>
  </w:style>
  <w:style w:type="numbering" w:styleId="LS18">
    <w:name w:val="LS18"/>
    <w:qFormat/>
  </w:style>
  <w:style w:type="numbering" w:styleId="LS19">
    <w:name w:val="LS19"/>
    <w:qFormat/>
  </w:style>
  <w:style w:type="numbering" w:styleId="LS20">
    <w:name w:val="LS20"/>
    <w:qFormat/>
  </w:style>
  <w:style w:type="numbering" w:styleId="LS21">
    <w:name w:val="LS21"/>
    <w:qFormat/>
  </w:style>
  <w:style w:type="numbering" w:styleId="LS22">
    <w:name w:val="LS22"/>
    <w:qFormat/>
  </w:style>
  <w:style w:type="numbering" w:styleId="LS23">
    <w:name w:val="LS23"/>
    <w:qFormat/>
  </w:style>
  <w:style w:type="numbering" w:styleId="LS24">
    <w:name w:val="LS24"/>
    <w:qFormat/>
  </w:style>
  <w:style w:type="numbering" w:styleId="LS25">
    <w:name w:val="LS25"/>
    <w:qFormat/>
  </w:style>
  <w:style w:type="numbering" w:styleId="LS26">
    <w:name w:val="LS26"/>
    <w:qFormat/>
  </w:style>
  <w:style w:type="numbering" w:styleId="LS27">
    <w:name w:val="LS27"/>
    <w:qFormat/>
  </w:style>
  <w:style w:type="numbering" w:styleId="LS28">
    <w:name w:val="LS28"/>
    <w:qFormat/>
  </w:style>
  <w:style w:type="numbering" w:styleId="LS29">
    <w:name w:val="LS29"/>
    <w:qFormat/>
  </w:style>
  <w:style w:type="numbering" w:styleId="LS30">
    <w:name w:val="LS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NDC_ODF_Application_Tools/2.0.3$Windows_x86 LibreOffice_project/54cf7324c4a2efdf36c5efbb1fcbec2120c1d70e</Application>
  <Pages>11</Pages>
  <Words>5802</Words>
  <CharactersWithSpaces>6167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2012-10-11T01:40:00Z</dcterms:created>
  <dc:creator>moi</dc:creator>
  <dc:description/>
  <dc:language>zh-TW</dc:language>
  <cp:lastModifiedBy>moi</cp:lastModifiedBy>
  <cp:lastPrinted>2012-10-09T03:12:00Z</cp:lastPrinted>
  <dcterms:modified xsi:type="dcterms:W3CDTF">2012-10-11T01:40:00Z</dcterms:modified>
  <cp:revision>2</cp:revision>
  <dc:subject/>
  <dc:title>生前殯葬服務預收費用信託定型化契約範本</dc:title>
</cp:coreProperties>
</file>