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5" w:type="dxa"/>
        <w:tblLayout w:type="fixed"/>
        <w:tblCellMar>
          <w:left w:w="28" w:type="dxa"/>
          <w:right w:w="28" w:type="dxa"/>
        </w:tblCellMar>
        <w:tblLook w:val="0000"/>
      </w:tblPr>
      <w:tblGrid>
        <w:gridCol w:w="3808"/>
        <w:gridCol w:w="3780"/>
        <w:gridCol w:w="3250"/>
      </w:tblGrid>
      <w:tr w:rsidR="00000000">
        <w:trPr>
          <w:trHeight w:val="646"/>
        </w:trPr>
        <w:tc>
          <w:tcPr>
            <w:tcW w:w="108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54000">
            <w:pPr>
              <w:jc w:val="center"/>
            </w:pPr>
            <w:r>
              <w:rPr>
                <w:rFonts w:ascii="標楷體" w:eastAsia="標楷體" w:hAnsi="標楷體" w:cs="標楷體" w:hint="eastAsia"/>
                <w:sz w:val="28"/>
                <w:szCs w:val="28"/>
              </w:rPr>
              <w:t>雲林縣水林鄉立殯葬設施使用管理自治條例部分條文修正條文對照表</w:t>
            </w:r>
          </w:p>
        </w:tc>
      </w:tr>
      <w:tr w:rsidR="00000000">
        <w:trPr>
          <w:trHeight w:val="640"/>
        </w:trPr>
        <w:tc>
          <w:tcPr>
            <w:tcW w:w="3808" w:type="dxa"/>
            <w:tcBorders>
              <w:top w:val="single" w:sz="4" w:space="0" w:color="000000"/>
              <w:left w:val="single" w:sz="4" w:space="0" w:color="000000"/>
              <w:bottom w:val="single" w:sz="4" w:space="0" w:color="000000"/>
            </w:tcBorders>
            <w:shd w:val="clear" w:color="auto" w:fill="auto"/>
            <w:vAlign w:val="center"/>
          </w:tcPr>
          <w:p w:rsidR="00000000" w:rsidRDefault="00854000">
            <w:pPr>
              <w:jc w:val="center"/>
            </w:pPr>
            <w:r>
              <w:rPr>
                <w:rFonts w:ascii="標楷體" w:eastAsia="標楷體" w:hAnsi="標楷體" w:cs="標楷體" w:hint="eastAsia"/>
                <w:sz w:val="28"/>
                <w:szCs w:val="28"/>
              </w:rPr>
              <w:t>修正條文</w:t>
            </w:r>
          </w:p>
        </w:tc>
        <w:tc>
          <w:tcPr>
            <w:tcW w:w="3780" w:type="dxa"/>
            <w:tcBorders>
              <w:top w:val="single" w:sz="4" w:space="0" w:color="000000"/>
              <w:left w:val="single" w:sz="4" w:space="0" w:color="000000"/>
              <w:bottom w:val="single" w:sz="4" w:space="0" w:color="000000"/>
            </w:tcBorders>
            <w:shd w:val="clear" w:color="auto" w:fill="auto"/>
            <w:vAlign w:val="center"/>
          </w:tcPr>
          <w:p w:rsidR="00000000" w:rsidRDefault="00854000">
            <w:pPr>
              <w:jc w:val="center"/>
            </w:pPr>
            <w:r>
              <w:rPr>
                <w:rFonts w:ascii="標楷體" w:eastAsia="標楷體" w:hAnsi="標楷體" w:cs="標楷體" w:hint="eastAsia"/>
                <w:sz w:val="28"/>
                <w:szCs w:val="28"/>
              </w:rPr>
              <w:t>現行條文</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54000">
            <w:pPr>
              <w:jc w:val="center"/>
            </w:pPr>
            <w:r>
              <w:rPr>
                <w:rFonts w:ascii="標楷體" w:eastAsia="標楷體" w:hAnsi="標楷體" w:cs="標楷體" w:hint="eastAsia"/>
                <w:sz w:val="28"/>
                <w:szCs w:val="28"/>
              </w:rPr>
              <w:t>說</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明</w:t>
            </w:r>
          </w:p>
        </w:tc>
      </w:tr>
      <w:tr w:rsidR="00000000">
        <w:trPr>
          <w:trHeight w:val="3756"/>
        </w:trPr>
        <w:tc>
          <w:tcPr>
            <w:tcW w:w="3808" w:type="dxa"/>
            <w:tcBorders>
              <w:top w:val="single" w:sz="4" w:space="0" w:color="000000"/>
              <w:left w:val="single" w:sz="4" w:space="0" w:color="000000"/>
              <w:bottom w:val="single" w:sz="4" w:space="0" w:color="000000"/>
            </w:tcBorders>
            <w:shd w:val="clear" w:color="auto" w:fill="auto"/>
          </w:tcPr>
          <w:p w:rsidR="00000000" w:rsidRDefault="00854000">
            <w:pPr>
              <w:ind w:left="240"/>
            </w:pPr>
            <w:r>
              <w:rPr>
                <w:rFonts w:ascii="標楷體" w:eastAsia="標楷體" w:hAnsi="標楷體" w:cs="標楷體" w:hint="eastAsia"/>
                <w:color w:val="FF0000"/>
                <w:u w:val="single"/>
              </w:rPr>
              <w:t>第四條之一</w:t>
            </w:r>
          </w:p>
          <w:p w:rsidR="00000000" w:rsidRDefault="00854000">
            <w:pPr>
              <w:ind w:left="240"/>
            </w:pPr>
            <w:r>
              <w:rPr>
                <w:rFonts w:ascii="標楷體" w:eastAsia="標楷體" w:hAnsi="標楷體" w:cs="標楷體" w:hint="eastAsia"/>
                <w:color w:val="FF0000"/>
                <w:u w:val="single"/>
              </w:rPr>
              <w:t>依本自治條例申請並經核准使用塔位存放骨骸（灰）者，得存放至該納骨塔自然老舊不能修復，或因天然災害、地變或不可抗力之事故事變致骨骸（灰）存放功能無法使用止</w:t>
            </w:r>
            <w:r>
              <w:rPr>
                <w:rFonts w:ascii="標楷體" w:eastAsia="標楷體" w:hAnsi="標楷體" w:cs="標楷體" w:hint="eastAsia"/>
              </w:rPr>
              <w:t>。</w:t>
            </w:r>
          </w:p>
        </w:tc>
        <w:tc>
          <w:tcPr>
            <w:tcW w:w="3780" w:type="dxa"/>
            <w:tcBorders>
              <w:top w:val="single" w:sz="4" w:space="0" w:color="000000"/>
              <w:left w:val="single" w:sz="4" w:space="0" w:color="000000"/>
              <w:bottom w:val="single" w:sz="4" w:space="0" w:color="000000"/>
            </w:tcBorders>
            <w:shd w:val="clear" w:color="auto" w:fill="auto"/>
          </w:tcPr>
          <w:p w:rsidR="00000000" w:rsidRDefault="00854000">
            <w:pPr>
              <w:snapToGrid w:val="0"/>
              <w:ind w:left="240"/>
              <w:rPr>
                <w:rFonts w:ascii="標楷體" w:eastAsia="標楷體" w:hAnsi="標楷體" w:cs="標楷體" w:hint="eastAsia"/>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54000">
            <w:pPr>
              <w:numPr>
                <w:ilvl w:val="0"/>
                <w:numId w:val="1"/>
              </w:numPr>
            </w:pPr>
            <w:r>
              <w:rPr>
                <w:rFonts w:ascii="標楷體" w:eastAsia="標楷體" w:hAnsi="標楷體" w:cs="標楷體" w:hint="eastAsia"/>
                <w:u w:val="single"/>
              </w:rPr>
              <w:t>本條新增。</w:t>
            </w:r>
          </w:p>
          <w:p w:rsidR="00000000" w:rsidRDefault="00854000">
            <w:pPr>
              <w:numPr>
                <w:ilvl w:val="0"/>
                <w:numId w:val="1"/>
              </w:numPr>
            </w:pPr>
            <w:r>
              <w:rPr>
                <w:rFonts w:ascii="標楷體" w:eastAsia="標楷體" w:hAnsi="標楷體" w:cs="標楷體" w:hint="eastAsia"/>
              </w:rPr>
              <w:t>依雲林縣殯葬管理自治條例第</w:t>
            </w:r>
            <w:r>
              <w:rPr>
                <w:rFonts w:ascii="標楷體" w:eastAsia="標楷體" w:hAnsi="標楷體" w:cs="標楷體" w:hint="eastAsia"/>
              </w:rPr>
              <w:t>13</w:t>
            </w:r>
            <w:r>
              <w:rPr>
                <w:rFonts w:ascii="標楷體" w:eastAsia="標楷體" w:hAnsi="標楷體" w:cs="標楷體" w:hint="eastAsia"/>
              </w:rPr>
              <w:t>條及第</w:t>
            </w:r>
            <w:r>
              <w:rPr>
                <w:rFonts w:ascii="標楷體" w:eastAsia="標楷體" w:hAnsi="標楷體" w:cs="標楷體" w:hint="eastAsia"/>
              </w:rPr>
              <w:t>20</w:t>
            </w:r>
            <w:r>
              <w:rPr>
                <w:rFonts w:ascii="標楷體" w:eastAsia="標楷體" w:hAnsi="標楷體" w:cs="標楷體" w:hint="eastAsia"/>
              </w:rPr>
              <w:t>條規定略以：骨灰（骸）存放設施應有設施，納骨櫃棟距應達１公尺以上，其耐用期限達</w:t>
            </w:r>
            <w:r>
              <w:rPr>
                <w:rFonts w:ascii="標楷體" w:eastAsia="標楷體" w:hAnsi="標楷體" w:cs="標楷體" w:hint="eastAsia"/>
              </w:rPr>
              <w:t>30</w:t>
            </w:r>
            <w:r>
              <w:rPr>
                <w:rFonts w:ascii="標楷體" w:eastAsia="標楷體" w:hAnsi="標楷體" w:cs="標楷體" w:hint="eastAsia"/>
              </w:rPr>
              <w:t>年以上。另依行政院主計總處訂頒之財物標準分類有關房屋建築及設備分類表列有鋼筋混擬土之納骨堂最低使用年限為</w:t>
            </w:r>
            <w:r>
              <w:rPr>
                <w:rFonts w:ascii="標楷體" w:eastAsia="標楷體" w:hAnsi="標楷體" w:cs="標楷體" w:hint="eastAsia"/>
              </w:rPr>
              <w:t>55</w:t>
            </w:r>
            <w:r>
              <w:rPr>
                <w:rFonts w:ascii="標楷體" w:eastAsia="標楷體" w:hAnsi="標楷體" w:cs="標楷體" w:hint="eastAsia"/>
              </w:rPr>
              <w:t>年。為避免日後發生爭議訂定納骨堂使用年限以維護民眾權益。</w:t>
            </w:r>
          </w:p>
        </w:tc>
      </w:tr>
      <w:tr w:rsidR="00000000">
        <w:trPr>
          <w:trHeight w:val="4391"/>
        </w:trPr>
        <w:tc>
          <w:tcPr>
            <w:tcW w:w="3808" w:type="dxa"/>
            <w:tcBorders>
              <w:top w:val="single" w:sz="4" w:space="0" w:color="000000"/>
              <w:left w:val="single" w:sz="4" w:space="0" w:color="000000"/>
              <w:bottom w:val="single" w:sz="4" w:space="0" w:color="000000"/>
            </w:tcBorders>
            <w:shd w:val="clear" w:color="auto" w:fill="auto"/>
          </w:tcPr>
          <w:p w:rsidR="00000000" w:rsidRDefault="00854000">
            <w:r>
              <w:rPr>
                <w:rFonts w:eastAsia="標楷體" w:hint="eastAsia"/>
              </w:rPr>
              <w:t>第六條</w:t>
            </w:r>
          </w:p>
          <w:p w:rsidR="00000000" w:rsidRDefault="00854000">
            <w:pPr>
              <w:ind w:left="240"/>
            </w:pPr>
            <w:r>
              <w:rPr>
                <w:rFonts w:ascii="標楷體" w:eastAsia="標楷體" w:hAnsi="標楷體" w:cs="標楷體" w:hint="eastAsia"/>
              </w:rPr>
              <w:t>有下列情形之一者，免收使用費管理費：</w:t>
            </w:r>
          </w:p>
          <w:p w:rsidR="00000000" w:rsidRDefault="00854000">
            <w:pPr>
              <w:numPr>
                <w:ilvl w:val="0"/>
                <w:numId w:val="3"/>
              </w:numPr>
              <w:tabs>
                <w:tab w:val="left" w:pos="728"/>
              </w:tabs>
            </w:pPr>
            <w:r>
              <w:rPr>
                <w:rFonts w:ascii="標楷體" w:eastAsia="標楷體" w:hAnsi="標楷體" w:cs="標楷體" w:hint="eastAsia"/>
              </w:rPr>
              <w:t>本鄉現役軍人因公或作戰或參加軍事演習死亡者。</w:t>
            </w:r>
          </w:p>
          <w:p w:rsidR="00000000" w:rsidRDefault="00854000">
            <w:pPr>
              <w:numPr>
                <w:ilvl w:val="0"/>
                <w:numId w:val="3"/>
              </w:numPr>
              <w:tabs>
                <w:tab w:val="left" w:pos="728"/>
              </w:tabs>
            </w:pPr>
            <w:r>
              <w:rPr>
                <w:rFonts w:ascii="標楷體" w:eastAsia="標楷體" w:hAnsi="標楷體" w:cs="標楷體" w:hint="eastAsia"/>
              </w:rPr>
              <w:t>設籍本鄉，當年度經縣政府核定列冊有案之第壹款、第貳款、第叄款低收入戶戶內共同生活之人口者。</w:t>
            </w:r>
          </w:p>
          <w:p w:rsidR="00000000" w:rsidRDefault="00854000">
            <w:pPr>
              <w:numPr>
                <w:ilvl w:val="0"/>
                <w:numId w:val="3"/>
              </w:numPr>
              <w:tabs>
                <w:tab w:val="left" w:pos="728"/>
              </w:tabs>
            </w:pPr>
            <w:r>
              <w:rPr>
                <w:rFonts w:ascii="標楷體" w:eastAsia="標楷體" w:hAnsi="標楷體" w:cs="標楷體" w:hint="eastAsia"/>
              </w:rPr>
              <w:t>申請人設籍本鄉，當年度經縣政府核定列冊有案之第壹款、第貳款、第叁款低收入戶，其直系血親且無旁系親屬共同負擔殯葬費用者之祖先骨骸（灰）。</w:t>
            </w:r>
          </w:p>
          <w:p w:rsidR="00000000" w:rsidRDefault="00854000">
            <w:pPr>
              <w:numPr>
                <w:ilvl w:val="0"/>
                <w:numId w:val="3"/>
              </w:numPr>
              <w:tabs>
                <w:tab w:val="left" w:pos="728"/>
              </w:tabs>
            </w:pPr>
            <w:r>
              <w:rPr>
                <w:rFonts w:ascii="標楷體" w:eastAsia="標楷體" w:hAnsi="標楷體" w:cs="標楷體" w:hint="eastAsia"/>
                <w:color w:val="FF0000"/>
                <w:u w:val="single"/>
              </w:rPr>
              <w:t>設籍本鄉，於醫療院所捐贈器官者。</w:t>
            </w:r>
          </w:p>
          <w:p w:rsidR="00000000" w:rsidRDefault="00854000">
            <w:pPr>
              <w:ind w:left="240"/>
            </w:pPr>
            <w:r>
              <w:rPr>
                <w:rFonts w:ascii="標楷體" w:eastAsia="標楷體" w:hAnsi="標楷體" w:cs="標楷體" w:hint="eastAsia"/>
              </w:rPr>
              <w:t>具上述情形之一者申請使用納骨堂（塔）須檢附有關戶籍資料及相關證明文件，但應由本所指定存放位置，申請</w:t>
            </w:r>
            <w:r>
              <w:rPr>
                <w:rFonts w:ascii="標楷體" w:eastAsia="標楷體" w:hAnsi="標楷體" w:cs="標楷體" w:hint="eastAsia"/>
              </w:rPr>
              <w:t>人不得選位。</w:t>
            </w:r>
          </w:p>
          <w:p w:rsidR="00000000" w:rsidRDefault="00854000">
            <w:pPr>
              <w:rPr>
                <w:rFonts w:ascii="標楷體" w:eastAsia="標楷體" w:hAnsi="標楷體" w:cs="標楷體" w:hint="eastAsia"/>
              </w:rPr>
            </w:pPr>
          </w:p>
        </w:tc>
        <w:tc>
          <w:tcPr>
            <w:tcW w:w="3780" w:type="dxa"/>
            <w:tcBorders>
              <w:top w:val="single" w:sz="4" w:space="0" w:color="000000"/>
              <w:left w:val="single" w:sz="4" w:space="0" w:color="000000"/>
              <w:bottom w:val="single" w:sz="4" w:space="0" w:color="000000"/>
            </w:tcBorders>
            <w:shd w:val="clear" w:color="auto" w:fill="auto"/>
          </w:tcPr>
          <w:p w:rsidR="00000000" w:rsidRDefault="00854000">
            <w:r>
              <w:rPr>
                <w:rFonts w:eastAsia="標楷體" w:hint="eastAsia"/>
              </w:rPr>
              <w:t>第六條</w:t>
            </w:r>
          </w:p>
          <w:p w:rsidR="00000000" w:rsidRDefault="00854000">
            <w:pPr>
              <w:ind w:left="240"/>
            </w:pPr>
            <w:r>
              <w:rPr>
                <w:rFonts w:ascii="標楷體" w:eastAsia="標楷體" w:hAnsi="標楷體" w:cs="標楷體" w:hint="eastAsia"/>
              </w:rPr>
              <w:t>有下列情形之一者，免收使用費管理費：</w:t>
            </w:r>
          </w:p>
          <w:p w:rsidR="00000000" w:rsidRDefault="00854000">
            <w:pPr>
              <w:numPr>
                <w:ilvl w:val="0"/>
                <w:numId w:val="7"/>
              </w:numPr>
              <w:tabs>
                <w:tab w:val="left" w:pos="728"/>
              </w:tabs>
            </w:pPr>
            <w:r>
              <w:rPr>
                <w:rFonts w:ascii="標楷體" w:eastAsia="標楷體" w:hAnsi="標楷體" w:cs="標楷體" w:hint="eastAsia"/>
              </w:rPr>
              <w:t>本鄉現役軍人因公或作戰或參加軍事演習死亡者。</w:t>
            </w:r>
          </w:p>
          <w:p w:rsidR="00000000" w:rsidRDefault="00854000">
            <w:pPr>
              <w:numPr>
                <w:ilvl w:val="0"/>
                <w:numId w:val="7"/>
              </w:numPr>
              <w:tabs>
                <w:tab w:val="left" w:pos="728"/>
              </w:tabs>
            </w:pPr>
            <w:r>
              <w:rPr>
                <w:rFonts w:ascii="標楷體" w:eastAsia="標楷體" w:hAnsi="標楷體" w:cs="標楷體" w:hint="eastAsia"/>
              </w:rPr>
              <w:t>設籍本鄉，當年度經縣政府核定列冊有案之第壹款、第貳款、第叄款低收入戶戶內共同生活之人口者。</w:t>
            </w:r>
          </w:p>
          <w:p w:rsidR="00000000" w:rsidRDefault="00854000">
            <w:pPr>
              <w:numPr>
                <w:ilvl w:val="0"/>
                <w:numId w:val="7"/>
              </w:numPr>
              <w:tabs>
                <w:tab w:val="left" w:pos="728"/>
              </w:tabs>
            </w:pPr>
            <w:r>
              <w:rPr>
                <w:rFonts w:ascii="標楷體" w:eastAsia="標楷體" w:hAnsi="標楷體" w:cs="標楷體" w:hint="eastAsia"/>
              </w:rPr>
              <w:t>申請人設籍本鄉，當年度經縣政府核定列冊有案之第壹款、第貳款、第叁款低收入戶，其直系血親且無旁系親屬共同負擔殯葬費用者之祖先骨骸（灰）。</w:t>
            </w:r>
          </w:p>
          <w:p w:rsidR="00000000" w:rsidRDefault="00854000">
            <w:pPr>
              <w:ind w:left="240"/>
            </w:pPr>
            <w:r>
              <w:rPr>
                <w:rFonts w:ascii="標楷體" w:eastAsia="標楷體" w:hAnsi="標楷體" w:cs="標楷體" w:hint="eastAsia"/>
              </w:rPr>
              <w:t>具上述情形之一者申請使用納骨堂（塔）須檢附有關戶籍資料及相關證明文件，但應由本所指定存放位置，申請人不得選位。</w:t>
            </w:r>
          </w:p>
          <w:p w:rsidR="00000000" w:rsidRDefault="00854000">
            <w:pPr>
              <w:spacing w:line="0" w:lineRule="atLeast"/>
              <w:ind w:left="978" w:hanging="1"/>
              <w:rPr>
                <w:rFonts w:ascii="標楷體" w:eastAsia="標楷體" w:hAnsi="標楷體" w:cs="標楷體" w:hint="eastAsia"/>
              </w:rPr>
            </w:pP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54000">
            <w:pPr>
              <w:numPr>
                <w:ilvl w:val="0"/>
                <w:numId w:val="4"/>
              </w:numPr>
              <w:tabs>
                <w:tab w:val="left" w:pos="634"/>
              </w:tabs>
              <w:ind w:left="634" w:hanging="567"/>
            </w:pPr>
            <w:r>
              <w:rPr>
                <w:rFonts w:ascii="標楷體" w:eastAsia="標楷體" w:hAnsi="標楷體" w:cs="標楷體" w:hint="eastAsia"/>
              </w:rPr>
              <w:t>依雲林縣政府</w:t>
            </w:r>
            <w:r>
              <w:rPr>
                <w:rFonts w:ascii="標楷體" w:eastAsia="標楷體" w:hAnsi="標楷體" w:cs="標楷體" w:hint="eastAsia"/>
              </w:rPr>
              <w:t>108</w:t>
            </w:r>
            <w:r>
              <w:rPr>
                <w:rFonts w:ascii="標楷體" w:eastAsia="標楷體" w:hAnsi="標楷體" w:cs="標楷體" w:hint="eastAsia"/>
              </w:rPr>
              <w:t>年</w:t>
            </w:r>
            <w:r>
              <w:rPr>
                <w:rFonts w:ascii="標楷體" w:eastAsia="標楷體" w:hAnsi="標楷體" w:cs="標楷體" w:hint="eastAsia"/>
              </w:rPr>
              <w:t>5</w:t>
            </w:r>
            <w:r>
              <w:rPr>
                <w:rFonts w:ascii="標楷體" w:eastAsia="標楷體" w:hAnsi="標楷體" w:cs="標楷體" w:hint="eastAsia"/>
              </w:rPr>
              <w:t>月</w:t>
            </w:r>
            <w:r>
              <w:rPr>
                <w:rFonts w:ascii="標楷體" w:eastAsia="標楷體" w:hAnsi="標楷體" w:cs="標楷體" w:hint="eastAsia"/>
              </w:rPr>
              <w:t>1</w:t>
            </w:r>
            <w:r>
              <w:rPr>
                <w:rFonts w:ascii="標楷體" w:eastAsia="標楷體" w:hAnsi="標楷體" w:cs="標楷體" w:hint="eastAsia"/>
              </w:rPr>
              <w:t>日府民業二字第</w:t>
            </w:r>
            <w:r>
              <w:rPr>
                <w:rFonts w:ascii="標楷體" w:eastAsia="標楷體" w:hAnsi="標楷體" w:cs="標楷體" w:hint="eastAsia"/>
              </w:rPr>
              <w:t>10821005538</w:t>
            </w:r>
            <w:r>
              <w:rPr>
                <w:rFonts w:ascii="標楷體" w:eastAsia="標楷體" w:hAnsi="標楷體" w:cs="標楷體" w:hint="eastAsia"/>
              </w:rPr>
              <w:t>號函辦理。</w:t>
            </w:r>
          </w:p>
          <w:p w:rsidR="00000000" w:rsidRDefault="00854000">
            <w:pPr>
              <w:numPr>
                <w:ilvl w:val="0"/>
                <w:numId w:val="4"/>
              </w:numPr>
              <w:tabs>
                <w:tab w:val="left" w:pos="634"/>
              </w:tabs>
              <w:ind w:left="634" w:hanging="567"/>
            </w:pPr>
            <w:r>
              <w:rPr>
                <w:rFonts w:ascii="標楷體" w:eastAsia="標楷體" w:hAnsi="標楷體" w:cs="標楷體" w:hint="eastAsia"/>
              </w:rPr>
              <w:t>為落實人體器官移植條例第</w:t>
            </w:r>
            <w:r>
              <w:rPr>
                <w:rFonts w:ascii="標楷體" w:eastAsia="標楷體" w:hAnsi="標楷體" w:cs="標楷體" w:hint="eastAsia"/>
              </w:rPr>
              <w:t>15</w:t>
            </w:r>
            <w:r>
              <w:rPr>
                <w:rFonts w:ascii="標楷體" w:eastAsia="標楷體" w:hAnsi="標楷體" w:cs="標楷體" w:hint="eastAsia"/>
              </w:rPr>
              <w:t>條規定，增訂第</w:t>
            </w:r>
            <w:r>
              <w:rPr>
                <w:rFonts w:ascii="標楷體" w:eastAsia="標楷體" w:hAnsi="標楷體" w:cs="標楷體" w:hint="eastAsia"/>
              </w:rPr>
              <w:t>4</w:t>
            </w:r>
            <w:r>
              <w:rPr>
                <w:rFonts w:ascii="標楷體" w:eastAsia="標楷體" w:hAnsi="標楷體" w:cs="標楷體" w:hint="eastAsia"/>
              </w:rPr>
              <w:t>款設籍本鄉民眾在醫療院所捐贈器官者，使用本所指定之塔位，免收使用費管理費。</w:t>
            </w:r>
          </w:p>
        </w:tc>
      </w:tr>
      <w:tr w:rsidR="00000000">
        <w:trPr>
          <w:trHeight w:val="4391"/>
        </w:trPr>
        <w:tc>
          <w:tcPr>
            <w:tcW w:w="3808" w:type="dxa"/>
            <w:tcBorders>
              <w:top w:val="single" w:sz="4" w:space="0" w:color="000000"/>
              <w:left w:val="single" w:sz="4" w:space="0" w:color="000000"/>
              <w:bottom w:val="single" w:sz="4" w:space="0" w:color="000000"/>
            </w:tcBorders>
            <w:shd w:val="clear" w:color="auto" w:fill="auto"/>
          </w:tcPr>
          <w:p w:rsidR="00000000" w:rsidRDefault="00854000">
            <w:pPr>
              <w:jc w:val="both"/>
            </w:pPr>
            <w:r>
              <w:rPr>
                <w:rFonts w:ascii="標楷體" w:eastAsia="標楷體" w:hAnsi="標楷體" w:cs="標楷體" w:hint="eastAsia"/>
              </w:rPr>
              <w:lastRenderedPageBreak/>
              <w:t>第</w:t>
            </w:r>
            <w:r>
              <w:rPr>
                <w:rFonts w:ascii="標楷體" w:eastAsia="標楷體" w:hAnsi="標楷體" w:cs="標楷體" w:hint="eastAsia"/>
              </w:rPr>
              <w:t>9</w:t>
            </w:r>
            <w:r>
              <w:rPr>
                <w:rFonts w:ascii="標楷體" w:eastAsia="標楷體" w:hAnsi="標楷體" w:cs="標楷體" w:hint="eastAsia"/>
              </w:rPr>
              <w:t>條之一</w:t>
            </w:r>
          </w:p>
          <w:p w:rsidR="00000000" w:rsidRDefault="00854000">
            <w:pPr>
              <w:tabs>
                <w:tab w:val="left" w:pos="284"/>
              </w:tabs>
              <w:ind w:left="282" w:hanging="1"/>
              <w:jc w:val="both"/>
            </w:pPr>
            <w:r>
              <w:rPr>
                <w:rFonts w:ascii="標楷體" w:eastAsia="標楷體" w:hAnsi="標楷體" w:cs="標楷體" w:hint="eastAsia"/>
                <w:color w:val="FF0000"/>
              </w:rPr>
              <w:t>現存於蕃薯厝公墓內</w:t>
            </w:r>
            <w:r>
              <w:rPr>
                <w:rFonts w:ascii="標楷體" w:eastAsia="標楷體" w:hAnsi="標楷體" w:cs="標楷體" w:hint="eastAsia"/>
              </w:rPr>
              <w:t>（</w:t>
            </w:r>
            <w:r>
              <w:rPr>
                <w:rFonts w:ascii="標楷體" w:eastAsia="標楷體" w:hAnsi="標楷體" w:cs="標楷體" w:hint="eastAsia"/>
                <w:color w:val="FF0000"/>
                <w:u w:val="single"/>
              </w:rPr>
              <w:t>非原規劃容納範圍）</w:t>
            </w:r>
            <w:r>
              <w:rPr>
                <w:rFonts w:ascii="標楷體" w:eastAsia="標楷體" w:hAnsi="標楷體" w:cs="標楷體" w:hint="eastAsia"/>
              </w:rPr>
              <w:t>掘起之有主骨骸（灰），如民</w:t>
            </w:r>
            <w:r>
              <w:rPr>
                <w:rFonts w:ascii="標楷體" w:eastAsia="標楷體" w:hAnsi="標楷體" w:cs="標楷體" w:hint="eastAsia"/>
                <w:u w:val="single"/>
              </w:rPr>
              <w:t>國</w:t>
            </w:r>
            <w:r>
              <w:rPr>
                <w:rFonts w:ascii="標楷體" w:eastAsia="標楷體" w:hAnsi="標楷體" w:cs="標楷體" w:hint="eastAsia"/>
                <w:color w:val="FF0000"/>
                <w:u w:val="single"/>
              </w:rPr>
              <w:t>109</w:t>
            </w:r>
            <w:r>
              <w:rPr>
                <w:rFonts w:ascii="標楷體" w:eastAsia="標楷體" w:hAnsi="標楷體" w:cs="標楷體" w:hint="eastAsia"/>
              </w:rPr>
              <w:t>年</w:t>
            </w:r>
            <w:r>
              <w:rPr>
                <w:rFonts w:ascii="標楷體" w:eastAsia="標楷體" w:hAnsi="標楷體" w:cs="標楷體" w:hint="eastAsia"/>
                <w:color w:val="000000"/>
              </w:rPr>
              <w:t>12</w:t>
            </w:r>
            <w:r>
              <w:rPr>
                <w:rFonts w:ascii="標楷體" w:eastAsia="標楷體" w:hAnsi="標楷體" w:cs="標楷體" w:hint="eastAsia"/>
                <w:color w:val="000000"/>
              </w:rPr>
              <w:t>月</w:t>
            </w:r>
            <w:r>
              <w:rPr>
                <w:rFonts w:ascii="標楷體" w:eastAsia="標楷體" w:hAnsi="標楷體" w:cs="標楷體" w:hint="eastAsia"/>
                <w:color w:val="000000"/>
              </w:rPr>
              <w:t>31</w:t>
            </w:r>
            <w:r>
              <w:rPr>
                <w:rFonts w:ascii="標楷體" w:eastAsia="標楷體" w:hAnsi="標楷體" w:cs="標楷體" w:hint="eastAsia"/>
              </w:rPr>
              <w:t>日前申請使用</w:t>
            </w:r>
            <w:r>
              <w:rPr>
                <w:rFonts w:ascii="標楷體" w:eastAsia="標楷體" w:hAnsi="標楷體" w:cs="標楷體" w:hint="eastAsia"/>
                <w:color w:val="FF0000"/>
              </w:rPr>
              <w:t>本鄉</w:t>
            </w:r>
            <w:r>
              <w:rPr>
                <w:rFonts w:ascii="標楷體" w:eastAsia="標楷體" w:hAnsi="標楷體" w:cs="標楷體" w:hint="eastAsia"/>
              </w:rPr>
              <w:t>納骨堂（塔）者，免收管理費及使用費。</w:t>
            </w:r>
          </w:p>
          <w:p w:rsidR="00000000" w:rsidRDefault="00854000">
            <w:pPr>
              <w:ind w:left="283" w:hanging="283"/>
              <w:jc w:val="both"/>
            </w:pPr>
            <w:r>
              <w:rPr>
                <w:rFonts w:ascii="標楷體" w:eastAsia="標楷體" w:hAnsi="標楷體" w:cs="標楷體" w:hint="eastAsia"/>
              </w:rPr>
              <w:t xml:space="preserve">  </w:t>
            </w:r>
            <w:r>
              <w:rPr>
                <w:rFonts w:ascii="標楷體" w:eastAsia="標楷體" w:hAnsi="標楷體" w:cs="標楷體" w:hint="eastAsia"/>
                <w:color w:val="FF0000"/>
                <w:u w:val="single"/>
              </w:rPr>
              <w:t>第一項規定自</w:t>
            </w:r>
            <w:r>
              <w:rPr>
                <w:rFonts w:ascii="標楷體" w:eastAsia="標楷體" w:hAnsi="標楷體" w:cs="標楷體" w:hint="eastAsia"/>
              </w:rPr>
              <w:t>民國</w:t>
            </w:r>
            <w:r>
              <w:rPr>
                <w:rFonts w:ascii="標楷體" w:eastAsia="標楷體" w:hAnsi="標楷體" w:cs="標楷體" w:hint="eastAsia"/>
                <w:color w:val="FF0000"/>
                <w:u w:val="single"/>
              </w:rPr>
              <w:t>110</w:t>
            </w:r>
            <w:r>
              <w:rPr>
                <w:rFonts w:ascii="標楷體" w:eastAsia="標楷體" w:hAnsi="標楷體" w:cs="標楷體" w:hint="eastAsia"/>
              </w:rPr>
              <w:t>年</w:t>
            </w:r>
            <w:r>
              <w:rPr>
                <w:rFonts w:ascii="標楷體" w:eastAsia="標楷體" w:hAnsi="標楷體" w:cs="標楷體" w:hint="eastAsia"/>
              </w:rPr>
              <w:t>1</w:t>
            </w:r>
            <w:r>
              <w:rPr>
                <w:rFonts w:ascii="標楷體" w:eastAsia="標楷體" w:hAnsi="標楷體" w:cs="標楷體" w:hint="eastAsia"/>
              </w:rPr>
              <w:t>月</w:t>
            </w:r>
            <w:r>
              <w:rPr>
                <w:rFonts w:ascii="標楷體" w:eastAsia="標楷體" w:hAnsi="標楷體" w:cs="標楷體" w:hint="eastAsia"/>
              </w:rPr>
              <w:t>1</w:t>
            </w:r>
            <w:r>
              <w:rPr>
                <w:rFonts w:ascii="標楷體" w:eastAsia="標楷體" w:hAnsi="標楷體" w:cs="標楷體" w:hint="eastAsia"/>
              </w:rPr>
              <w:t>日起不</w:t>
            </w:r>
            <w:r>
              <w:rPr>
                <w:rFonts w:ascii="標楷體" w:eastAsia="標楷體" w:hAnsi="標楷體" w:cs="標楷體" w:hint="eastAsia"/>
                <w:color w:val="FF0000"/>
                <w:u w:val="single"/>
              </w:rPr>
              <w:t>予</w:t>
            </w:r>
            <w:r>
              <w:rPr>
                <w:rFonts w:ascii="標楷體" w:eastAsia="標楷體" w:hAnsi="標楷體" w:cs="標楷體" w:hint="eastAsia"/>
              </w:rPr>
              <w:t>適用，屆時本條</w:t>
            </w:r>
            <w:r>
              <w:rPr>
                <w:rFonts w:ascii="標楷體" w:eastAsia="標楷體" w:hAnsi="標楷體" w:cs="標楷體" w:hint="eastAsia"/>
                <w:color w:val="FF0000"/>
                <w:u w:val="single"/>
              </w:rPr>
              <w:t>文內容亦</w:t>
            </w:r>
            <w:r>
              <w:rPr>
                <w:rFonts w:ascii="標楷體" w:eastAsia="標楷體" w:hAnsi="標楷體" w:cs="標楷體" w:hint="eastAsia"/>
              </w:rPr>
              <w:t>同時廢止。</w:t>
            </w:r>
          </w:p>
          <w:p w:rsidR="00000000" w:rsidRDefault="00854000">
            <w:pPr>
              <w:ind w:left="240"/>
              <w:jc w:val="both"/>
              <w:rPr>
                <w:rFonts w:ascii="標楷體" w:eastAsia="標楷體" w:hAnsi="標楷體" w:cs="標楷體" w:hint="eastAsia"/>
                <w:color w:val="FF0000"/>
                <w:u w:val="single"/>
              </w:rPr>
            </w:pPr>
          </w:p>
        </w:tc>
        <w:tc>
          <w:tcPr>
            <w:tcW w:w="3780" w:type="dxa"/>
            <w:tcBorders>
              <w:top w:val="single" w:sz="4" w:space="0" w:color="000000"/>
              <w:left w:val="single" w:sz="4" w:space="0" w:color="000000"/>
              <w:bottom w:val="single" w:sz="4" w:space="0" w:color="000000"/>
            </w:tcBorders>
            <w:shd w:val="clear" w:color="auto" w:fill="auto"/>
          </w:tcPr>
          <w:p w:rsidR="00000000" w:rsidRDefault="00854000">
            <w:pPr>
              <w:jc w:val="both"/>
            </w:pPr>
            <w:r>
              <w:rPr>
                <w:rFonts w:ascii="標楷體" w:eastAsia="標楷體" w:hAnsi="標楷體" w:cs="標楷體" w:hint="eastAsia"/>
              </w:rPr>
              <w:t>第</w:t>
            </w:r>
            <w:r>
              <w:rPr>
                <w:rFonts w:ascii="標楷體" w:eastAsia="標楷體" w:hAnsi="標楷體" w:cs="標楷體" w:hint="eastAsia"/>
              </w:rPr>
              <w:t>9</w:t>
            </w:r>
            <w:r>
              <w:rPr>
                <w:rFonts w:ascii="標楷體" w:eastAsia="標楷體" w:hAnsi="標楷體" w:cs="標楷體" w:hint="eastAsia"/>
              </w:rPr>
              <w:t>條之一</w:t>
            </w:r>
          </w:p>
          <w:p w:rsidR="00000000" w:rsidRDefault="00854000">
            <w:pPr>
              <w:tabs>
                <w:tab w:val="left" w:pos="284"/>
              </w:tabs>
              <w:ind w:left="1317" w:hanging="1034"/>
              <w:jc w:val="both"/>
            </w:pPr>
            <w:r>
              <w:rPr>
                <w:rFonts w:ascii="標楷體" w:eastAsia="標楷體" w:hAnsi="標楷體" w:cs="標楷體" w:hint="eastAsia"/>
              </w:rPr>
              <w:t>蕃薯厝公墓更新範圍</w:t>
            </w:r>
          </w:p>
          <w:p w:rsidR="00000000" w:rsidRDefault="00854000">
            <w:pPr>
              <w:tabs>
                <w:tab w:val="left" w:pos="426"/>
              </w:tabs>
              <w:ind w:left="283" w:hanging="283"/>
              <w:jc w:val="both"/>
            </w:pPr>
            <w:r>
              <w:rPr>
                <w:rFonts w:ascii="標楷體" w:eastAsia="標楷體" w:hAnsi="標楷體" w:cs="標楷體" w:hint="eastAsia"/>
              </w:rPr>
              <w:t xml:space="preserve"> </w:t>
            </w:r>
            <w:r>
              <w:rPr>
                <w:rFonts w:ascii="標楷體" w:eastAsia="標楷體" w:hAnsi="標楷體" w:cs="標楷體" w:hint="eastAsia"/>
              </w:rPr>
              <w:t>（包含毗鄰之其他非鄉有土地）現存於或於公墓內，掘起之有主骨骸（灰），如民國</w:t>
            </w:r>
            <w:r>
              <w:rPr>
                <w:rFonts w:ascii="標楷體" w:eastAsia="標楷體" w:hAnsi="標楷體" w:cs="標楷體" w:hint="eastAsia"/>
              </w:rPr>
              <w:t>100</w:t>
            </w:r>
            <w:r>
              <w:rPr>
                <w:rFonts w:ascii="標楷體" w:eastAsia="標楷體" w:hAnsi="標楷體" w:cs="標楷體" w:hint="eastAsia"/>
              </w:rPr>
              <w:t>年</w:t>
            </w:r>
            <w:r>
              <w:rPr>
                <w:rFonts w:ascii="標楷體" w:eastAsia="標楷體" w:hAnsi="標楷體" w:cs="標楷體" w:hint="eastAsia"/>
              </w:rPr>
              <w:t>12</w:t>
            </w:r>
            <w:r>
              <w:rPr>
                <w:rFonts w:ascii="標楷體" w:eastAsia="標楷體" w:hAnsi="標楷體" w:cs="標楷體" w:hint="eastAsia"/>
              </w:rPr>
              <w:t>月</w:t>
            </w:r>
            <w:r>
              <w:rPr>
                <w:rFonts w:ascii="標楷體" w:eastAsia="標楷體" w:hAnsi="標楷體" w:cs="標楷體" w:hint="eastAsia"/>
              </w:rPr>
              <w:t>31</w:t>
            </w:r>
            <w:r>
              <w:rPr>
                <w:rFonts w:ascii="標楷體" w:eastAsia="標楷體" w:hAnsi="標楷體" w:cs="標楷體" w:hint="eastAsia"/>
              </w:rPr>
              <w:t>日前申請使用納骨堂（塔）</w:t>
            </w:r>
            <w:r>
              <w:rPr>
                <w:rFonts w:ascii="標楷體" w:eastAsia="標楷體" w:hAnsi="標楷體" w:cs="標楷體" w:hint="eastAsia"/>
              </w:rPr>
              <w:t>者，免費進堂（塔），免收管理費及使用費。</w:t>
            </w:r>
          </w:p>
          <w:p w:rsidR="00000000" w:rsidRDefault="00854000">
            <w:pPr>
              <w:ind w:left="283" w:hanging="283"/>
              <w:jc w:val="both"/>
            </w:pPr>
            <w:r>
              <w:rPr>
                <w:rFonts w:ascii="標楷體" w:eastAsia="標楷體" w:hAnsi="標楷體" w:cs="標楷體" w:hint="eastAsia"/>
              </w:rPr>
              <w:t xml:space="preserve">   </w:t>
            </w:r>
            <w:r>
              <w:rPr>
                <w:rFonts w:ascii="標楷體" w:eastAsia="標楷體" w:hAnsi="標楷體" w:cs="標楷體" w:hint="eastAsia"/>
              </w:rPr>
              <w:t>民國</w:t>
            </w:r>
            <w:r>
              <w:rPr>
                <w:rFonts w:ascii="標楷體" w:eastAsia="標楷體" w:hAnsi="標楷體" w:cs="標楷體" w:hint="eastAsia"/>
              </w:rPr>
              <w:t>101</w:t>
            </w:r>
            <w:r>
              <w:rPr>
                <w:rFonts w:ascii="標楷體" w:eastAsia="標楷體" w:hAnsi="標楷體" w:cs="標楷體" w:hint="eastAsia"/>
              </w:rPr>
              <w:t>年</w:t>
            </w:r>
            <w:r>
              <w:rPr>
                <w:rFonts w:ascii="標楷體" w:eastAsia="標楷體" w:hAnsi="標楷體" w:cs="標楷體" w:hint="eastAsia"/>
              </w:rPr>
              <w:t>1</w:t>
            </w:r>
            <w:r>
              <w:rPr>
                <w:rFonts w:ascii="標楷體" w:eastAsia="標楷體" w:hAnsi="標楷體" w:cs="標楷體" w:hint="eastAsia"/>
              </w:rPr>
              <w:t>月</w:t>
            </w:r>
            <w:r>
              <w:rPr>
                <w:rFonts w:ascii="標楷體" w:eastAsia="標楷體" w:hAnsi="標楷體" w:cs="標楷體" w:hint="eastAsia"/>
              </w:rPr>
              <w:t>1</w:t>
            </w:r>
            <w:r>
              <w:rPr>
                <w:rFonts w:ascii="標楷體" w:eastAsia="標楷體" w:hAnsi="標楷體" w:cs="標楷體" w:hint="eastAsia"/>
              </w:rPr>
              <w:t>日起即不再適用，屆時本條同時廢止。</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54000">
            <w:pPr>
              <w:numPr>
                <w:ilvl w:val="0"/>
                <w:numId w:val="5"/>
              </w:numPr>
              <w:tabs>
                <w:tab w:val="left" w:pos="634"/>
              </w:tabs>
              <w:ind w:left="634" w:hanging="634"/>
            </w:pPr>
            <w:r>
              <w:rPr>
                <w:rFonts w:ascii="標楷體" w:eastAsia="標楷體" w:hAnsi="標楷體" w:cs="標楷體" w:hint="eastAsia"/>
              </w:rPr>
              <w:t>依據殯葬管理條例第</w:t>
            </w:r>
            <w:r>
              <w:rPr>
                <w:rFonts w:ascii="標楷體" w:eastAsia="標楷體" w:hAnsi="標楷體" w:cs="標楷體" w:hint="eastAsia"/>
              </w:rPr>
              <w:t>39</w:t>
            </w:r>
            <w:r>
              <w:rPr>
                <w:rFonts w:ascii="標楷體" w:eastAsia="標楷體" w:hAnsi="標楷體" w:cs="標楷體" w:hint="eastAsia"/>
              </w:rPr>
              <w:t>條規定辦理。</w:t>
            </w:r>
          </w:p>
          <w:p w:rsidR="00000000" w:rsidRDefault="00854000">
            <w:pPr>
              <w:numPr>
                <w:ilvl w:val="0"/>
                <w:numId w:val="5"/>
              </w:numPr>
              <w:tabs>
                <w:tab w:val="left" w:pos="634"/>
              </w:tabs>
              <w:ind w:left="634" w:hanging="634"/>
            </w:pPr>
            <w:r>
              <w:rPr>
                <w:rFonts w:ascii="標楷體" w:eastAsia="標楷體" w:hAnsi="標楷體" w:cs="標楷體" w:hint="eastAsia"/>
              </w:rPr>
              <w:t>為落實公墓公園化目標、促進土地資源有效利用及增加現存於蕃薯厝公墓內私人墓塋起掘誘因，擬修訂第</w:t>
            </w:r>
            <w:r>
              <w:rPr>
                <w:rFonts w:ascii="標楷體" w:eastAsia="標楷體" w:hAnsi="標楷體" w:cs="標楷體" w:hint="eastAsia"/>
              </w:rPr>
              <w:t>9</w:t>
            </w:r>
            <w:r>
              <w:rPr>
                <w:rFonts w:ascii="標楷體" w:eastAsia="標楷體" w:hAnsi="標楷體" w:cs="標楷體" w:hint="eastAsia"/>
              </w:rPr>
              <w:t>條之</w:t>
            </w:r>
            <w:r>
              <w:rPr>
                <w:rFonts w:ascii="標楷體" w:eastAsia="標楷體" w:hAnsi="標楷體" w:cs="標楷體" w:hint="eastAsia"/>
              </w:rPr>
              <w:t>1</w:t>
            </w:r>
            <w:r>
              <w:rPr>
                <w:rFonts w:ascii="標楷體" w:eastAsia="標楷體" w:hAnsi="標楷體" w:cs="標楷體" w:hint="eastAsia"/>
              </w:rPr>
              <w:t>落日條款。</w:t>
            </w:r>
          </w:p>
        </w:tc>
      </w:tr>
      <w:tr w:rsidR="00000000">
        <w:trPr>
          <w:trHeight w:val="4391"/>
        </w:trPr>
        <w:tc>
          <w:tcPr>
            <w:tcW w:w="3808" w:type="dxa"/>
            <w:tcBorders>
              <w:top w:val="single" w:sz="4" w:space="0" w:color="000000"/>
              <w:left w:val="single" w:sz="4" w:space="0" w:color="000000"/>
              <w:bottom w:val="single" w:sz="4" w:space="0" w:color="000000"/>
            </w:tcBorders>
            <w:shd w:val="clear" w:color="auto" w:fill="auto"/>
          </w:tcPr>
          <w:p w:rsidR="00000000" w:rsidRDefault="00854000">
            <w:pPr>
              <w:spacing w:line="0" w:lineRule="atLeast"/>
              <w:ind w:left="1200" w:hanging="1200"/>
            </w:pPr>
            <w:r>
              <w:rPr>
                <w:rFonts w:ascii="標楷體" w:eastAsia="標楷體" w:hAnsi="標楷體" w:cs="標楷體" w:hint="eastAsia"/>
              </w:rPr>
              <w:t>第十一條</w:t>
            </w:r>
          </w:p>
          <w:p w:rsidR="00000000" w:rsidRDefault="00854000">
            <w:pPr>
              <w:spacing w:line="0" w:lineRule="atLeast"/>
              <w:ind w:left="1200" w:hanging="1200"/>
            </w:pPr>
            <w:r>
              <w:rPr>
                <w:rFonts w:ascii="標楷體" w:eastAsia="標楷體" w:hAnsi="標楷體" w:cs="標楷體" w:hint="eastAsia"/>
              </w:rPr>
              <w:t xml:space="preserve">  </w:t>
            </w:r>
            <w:r>
              <w:rPr>
                <w:rFonts w:ascii="標楷體" w:eastAsia="標楷體" w:hAnsi="標楷體" w:cs="標楷體" w:hint="eastAsia"/>
              </w:rPr>
              <w:t>墓基使用（塋葬）收費標準如下：</w:t>
            </w:r>
          </w:p>
          <w:p w:rsidR="00000000" w:rsidRDefault="00854000">
            <w:pPr>
              <w:numPr>
                <w:ilvl w:val="0"/>
                <w:numId w:val="6"/>
              </w:numPr>
              <w:tabs>
                <w:tab w:val="left" w:pos="161"/>
                <w:tab w:val="left" w:pos="445"/>
                <w:tab w:val="left" w:pos="728"/>
                <w:tab w:val="left" w:pos="870"/>
              </w:tabs>
              <w:spacing w:line="0" w:lineRule="atLeast"/>
            </w:pPr>
            <w:r>
              <w:rPr>
                <w:rFonts w:ascii="標楷體" w:eastAsia="標楷體" w:hAnsi="標楷體" w:cs="標楷體" w:hint="eastAsia"/>
              </w:rPr>
              <w:t>墓基</w:t>
            </w:r>
            <w:r>
              <w:rPr>
                <w:rFonts w:ascii="標楷體" w:eastAsia="標楷體" w:hAnsi="標楷體" w:cs="標楷體" w:hint="eastAsia"/>
                <w:color w:val="FF0000"/>
                <w:u w:val="single"/>
              </w:rPr>
              <w:t>使用</w:t>
            </w:r>
            <w:r>
              <w:rPr>
                <w:rFonts w:ascii="標楷體" w:eastAsia="標楷體" w:hAnsi="標楷體" w:cs="標楷體" w:hint="eastAsia"/>
              </w:rPr>
              <w:t>費：新台幣</w:t>
            </w:r>
            <w:r>
              <w:rPr>
                <w:rFonts w:eastAsia="標楷體" w:hint="eastAsia"/>
              </w:rPr>
              <w:t>30,000</w:t>
            </w:r>
            <w:r>
              <w:rPr>
                <w:rFonts w:eastAsia="標楷體" w:hint="eastAsia"/>
              </w:rPr>
              <w:t>元「土厝、蕃薯、山腳村籍村民（含土厝、蕃薯、山腳等村設籍有案者，遷往他縣市居住年邁）去世，如申請使用墓基，均得减半優惠」</w:t>
            </w:r>
            <w:r>
              <w:rPr>
                <w:rFonts w:ascii="標楷體" w:eastAsia="標楷體" w:hAnsi="標楷體" w:cs="標楷體" w:hint="eastAsia"/>
              </w:rPr>
              <w:t>。</w:t>
            </w:r>
          </w:p>
          <w:p w:rsidR="00000000" w:rsidRDefault="00854000">
            <w:pPr>
              <w:numPr>
                <w:ilvl w:val="0"/>
                <w:numId w:val="6"/>
              </w:numPr>
              <w:tabs>
                <w:tab w:val="left" w:pos="161"/>
                <w:tab w:val="left" w:pos="445"/>
                <w:tab w:val="left" w:pos="617"/>
                <w:tab w:val="left" w:pos="870"/>
              </w:tabs>
              <w:spacing w:line="0" w:lineRule="atLeast"/>
            </w:pPr>
            <w:r>
              <w:rPr>
                <w:rFonts w:ascii="標楷體" w:eastAsia="標楷體" w:hAnsi="標楷體" w:cs="標楷體" w:hint="eastAsia"/>
                <w:u w:val="single"/>
              </w:rPr>
              <w:t>廢棄物</w:t>
            </w:r>
            <w:r>
              <w:rPr>
                <w:rFonts w:eastAsia="標楷體" w:hint="eastAsia"/>
                <w:u w:val="single"/>
              </w:rPr>
              <w:t>代理清潔費</w:t>
            </w:r>
            <w:r>
              <w:rPr>
                <w:rFonts w:eastAsia="標楷體" w:hint="eastAsia"/>
              </w:rPr>
              <w:t>：新台幣</w:t>
            </w:r>
            <w:r>
              <w:rPr>
                <w:rFonts w:eastAsia="標楷體" w:hint="eastAsia"/>
              </w:rPr>
              <w:t>3000</w:t>
            </w:r>
            <w:r>
              <w:rPr>
                <w:rFonts w:eastAsia="標楷體" w:hint="eastAsia"/>
              </w:rPr>
              <w:t>元。</w:t>
            </w:r>
          </w:p>
          <w:p w:rsidR="00000000" w:rsidRDefault="00854000">
            <w:pPr>
              <w:numPr>
                <w:ilvl w:val="0"/>
                <w:numId w:val="6"/>
              </w:numPr>
              <w:tabs>
                <w:tab w:val="left" w:pos="161"/>
                <w:tab w:val="left" w:pos="445"/>
                <w:tab w:val="left" w:pos="617"/>
                <w:tab w:val="left" w:pos="870"/>
              </w:tabs>
              <w:spacing w:line="0" w:lineRule="atLeast"/>
            </w:pPr>
            <w:r>
              <w:rPr>
                <w:rFonts w:ascii="標楷體" w:eastAsia="標楷體" w:hAnsi="標楷體" w:cs="標楷體" w:hint="eastAsia"/>
              </w:rPr>
              <w:t>上述</w:t>
            </w:r>
            <w:r>
              <w:rPr>
                <w:rFonts w:eastAsia="標楷體" w:hint="eastAsia"/>
              </w:rPr>
              <w:t>墓基使用收費標準，</w:t>
            </w:r>
            <w:r>
              <w:rPr>
                <w:rFonts w:eastAsia="標楷體" w:hint="eastAsia"/>
              </w:rPr>
              <w:t>以使用者（非申請人）戶籍為本鄉鄉民，或遷居外縣市、鄉鎮之原本鄉出生並設籍本鄉者為限。</w:t>
            </w:r>
          </w:p>
          <w:p w:rsidR="00000000" w:rsidRDefault="00854000">
            <w:pPr>
              <w:numPr>
                <w:ilvl w:val="0"/>
                <w:numId w:val="6"/>
              </w:numPr>
              <w:tabs>
                <w:tab w:val="left" w:pos="161"/>
                <w:tab w:val="left" w:pos="445"/>
                <w:tab w:val="left" w:pos="617"/>
                <w:tab w:val="left" w:pos="870"/>
              </w:tabs>
              <w:spacing w:line="0" w:lineRule="atLeast"/>
            </w:pPr>
            <w:r>
              <w:rPr>
                <w:rFonts w:eastAsia="標楷體" w:hint="eastAsia"/>
              </w:rPr>
              <w:t>使用者戶籍為他縣市或他鄉鎮市民加收</w:t>
            </w:r>
            <w:r>
              <w:rPr>
                <w:rFonts w:eastAsia="標楷體" w:hint="eastAsia"/>
                <w:color w:val="FF0000"/>
                <w:u w:val="single"/>
              </w:rPr>
              <w:t>使用</w:t>
            </w:r>
            <w:r>
              <w:rPr>
                <w:rFonts w:eastAsia="標楷體" w:hint="eastAsia"/>
              </w:rPr>
              <w:t>費之</w:t>
            </w:r>
            <w:r>
              <w:rPr>
                <w:rFonts w:eastAsia="標楷體" w:hint="eastAsia"/>
              </w:rPr>
              <w:t>50</w:t>
            </w:r>
            <w:r>
              <w:rPr>
                <w:rFonts w:eastAsia="標楷體" w:hint="eastAsia"/>
              </w:rPr>
              <w:t>％使用費及</w:t>
            </w:r>
            <w:r>
              <w:rPr>
                <w:rFonts w:eastAsia="標楷體" w:hint="eastAsia"/>
                <w:u w:val="single"/>
              </w:rPr>
              <w:t>廢棄物代理清潔費</w:t>
            </w:r>
            <w:r>
              <w:rPr>
                <w:rFonts w:eastAsia="標楷體" w:hint="eastAsia"/>
              </w:rPr>
              <w:t>。</w:t>
            </w:r>
          </w:p>
          <w:p w:rsidR="00000000" w:rsidRDefault="00854000">
            <w:pPr>
              <w:numPr>
                <w:ilvl w:val="0"/>
                <w:numId w:val="6"/>
              </w:numPr>
              <w:tabs>
                <w:tab w:val="left" w:pos="161"/>
                <w:tab w:val="left" w:pos="445"/>
                <w:tab w:val="left" w:pos="617"/>
                <w:tab w:val="left" w:pos="870"/>
              </w:tabs>
              <w:spacing w:line="0" w:lineRule="atLeast"/>
            </w:pPr>
            <w:r>
              <w:rPr>
                <w:rFonts w:eastAsia="標楷體" w:hint="eastAsia"/>
              </w:rPr>
              <w:t>上述</w:t>
            </w:r>
            <w:r>
              <w:rPr>
                <w:rFonts w:ascii="標楷體" w:eastAsia="標楷體" w:hAnsi="標楷體" w:cs="標楷體" w:hint="eastAsia"/>
              </w:rPr>
              <w:t>費用</w:t>
            </w:r>
            <w:r>
              <w:rPr>
                <w:rFonts w:eastAsia="標楷體" w:hint="eastAsia"/>
              </w:rPr>
              <w:t>繳納，由本所填發公庫繳款書，申請人自行至公庫繳納。</w:t>
            </w:r>
          </w:p>
        </w:tc>
        <w:tc>
          <w:tcPr>
            <w:tcW w:w="3780" w:type="dxa"/>
            <w:tcBorders>
              <w:top w:val="single" w:sz="4" w:space="0" w:color="000000"/>
              <w:left w:val="single" w:sz="4" w:space="0" w:color="000000"/>
              <w:bottom w:val="single" w:sz="4" w:space="0" w:color="000000"/>
            </w:tcBorders>
            <w:shd w:val="clear" w:color="auto" w:fill="auto"/>
          </w:tcPr>
          <w:p w:rsidR="00000000" w:rsidRDefault="00854000">
            <w:pPr>
              <w:spacing w:line="0" w:lineRule="atLeast"/>
              <w:ind w:left="1200" w:hanging="1200"/>
            </w:pPr>
            <w:r>
              <w:rPr>
                <w:rFonts w:ascii="標楷體" w:eastAsia="標楷體" w:hAnsi="標楷體" w:cs="標楷體" w:hint="eastAsia"/>
              </w:rPr>
              <w:t>第十一條</w:t>
            </w:r>
          </w:p>
          <w:p w:rsidR="00000000" w:rsidRDefault="00854000">
            <w:pPr>
              <w:spacing w:line="0" w:lineRule="atLeast"/>
              <w:ind w:left="1200" w:hanging="1200"/>
            </w:pPr>
            <w:r>
              <w:rPr>
                <w:rFonts w:ascii="標楷體" w:eastAsia="標楷體" w:hAnsi="標楷體" w:cs="標楷體" w:hint="eastAsia"/>
              </w:rPr>
              <w:t xml:space="preserve">  </w:t>
            </w:r>
            <w:r>
              <w:rPr>
                <w:rFonts w:ascii="標楷體" w:eastAsia="標楷體" w:hAnsi="標楷體" w:cs="標楷體" w:hint="eastAsia"/>
              </w:rPr>
              <w:t>墓基使用（塋葬）收費標準如下：</w:t>
            </w:r>
          </w:p>
          <w:p w:rsidR="00000000" w:rsidRDefault="00854000">
            <w:pPr>
              <w:numPr>
                <w:ilvl w:val="0"/>
                <w:numId w:val="2"/>
              </w:numPr>
              <w:tabs>
                <w:tab w:val="left" w:pos="161"/>
                <w:tab w:val="left" w:pos="445"/>
                <w:tab w:val="left" w:pos="728"/>
                <w:tab w:val="left" w:pos="870"/>
              </w:tabs>
              <w:spacing w:line="0" w:lineRule="atLeast"/>
            </w:pPr>
            <w:r>
              <w:rPr>
                <w:rFonts w:ascii="標楷體" w:eastAsia="標楷體" w:hAnsi="標楷體" w:cs="標楷體" w:hint="eastAsia"/>
              </w:rPr>
              <w:t>墓基管理費：新台幣</w:t>
            </w:r>
            <w:r>
              <w:rPr>
                <w:rFonts w:eastAsia="標楷體" w:hint="eastAsia"/>
              </w:rPr>
              <w:t>30,000</w:t>
            </w:r>
            <w:r>
              <w:rPr>
                <w:rFonts w:eastAsia="標楷體" w:hint="eastAsia"/>
              </w:rPr>
              <w:t>元「土厝、蕃薯、山腳村籍村民（含土厝、蕃薯、山腳等村設籍有案者，遷往他縣市居住年邁）去世，如申請使用墓基，均得减半優惠」</w:t>
            </w:r>
            <w:r>
              <w:rPr>
                <w:rFonts w:ascii="標楷體" w:eastAsia="標楷體" w:hAnsi="標楷體" w:cs="標楷體" w:hint="eastAsia"/>
              </w:rPr>
              <w:t>。</w:t>
            </w:r>
          </w:p>
          <w:p w:rsidR="00000000" w:rsidRDefault="00854000">
            <w:pPr>
              <w:numPr>
                <w:ilvl w:val="0"/>
                <w:numId w:val="2"/>
              </w:numPr>
              <w:tabs>
                <w:tab w:val="left" w:pos="161"/>
                <w:tab w:val="left" w:pos="445"/>
                <w:tab w:val="left" w:pos="617"/>
                <w:tab w:val="left" w:pos="870"/>
              </w:tabs>
              <w:spacing w:line="0" w:lineRule="atLeast"/>
            </w:pPr>
            <w:r>
              <w:rPr>
                <w:rFonts w:ascii="標楷體" w:eastAsia="標楷體" w:hAnsi="標楷體" w:cs="標楷體" w:hint="eastAsia"/>
              </w:rPr>
              <w:t>廢棄物</w:t>
            </w:r>
            <w:r>
              <w:rPr>
                <w:rFonts w:eastAsia="標楷體" w:hint="eastAsia"/>
              </w:rPr>
              <w:t>代理清潔</w:t>
            </w:r>
            <w:r>
              <w:rPr>
                <w:rFonts w:ascii="標楷體" w:eastAsia="標楷體" w:hAnsi="標楷體" w:cs="標楷體" w:hint="eastAsia"/>
              </w:rPr>
              <w:t>管理</w:t>
            </w:r>
            <w:r>
              <w:rPr>
                <w:rFonts w:eastAsia="標楷體" w:hint="eastAsia"/>
              </w:rPr>
              <w:t>費：新台幣</w:t>
            </w:r>
            <w:r>
              <w:rPr>
                <w:rFonts w:eastAsia="標楷體" w:hint="eastAsia"/>
              </w:rPr>
              <w:t>3000</w:t>
            </w:r>
            <w:r>
              <w:rPr>
                <w:rFonts w:eastAsia="標楷體" w:hint="eastAsia"/>
              </w:rPr>
              <w:t>元。</w:t>
            </w:r>
          </w:p>
          <w:p w:rsidR="00000000" w:rsidRDefault="00854000">
            <w:pPr>
              <w:numPr>
                <w:ilvl w:val="0"/>
                <w:numId w:val="2"/>
              </w:numPr>
              <w:tabs>
                <w:tab w:val="left" w:pos="161"/>
                <w:tab w:val="left" w:pos="445"/>
                <w:tab w:val="left" w:pos="617"/>
                <w:tab w:val="left" w:pos="870"/>
              </w:tabs>
              <w:spacing w:line="0" w:lineRule="atLeast"/>
            </w:pPr>
            <w:r>
              <w:rPr>
                <w:rFonts w:ascii="標楷體" w:eastAsia="標楷體" w:hAnsi="標楷體" w:cs="標楷體" w:hint="eastAsia"/>
              </w:rPr>
              <w:t>上述</w:t>
            </w:r>
            <w:r>
              <w:rPr>
                <w:rFonts w:eastAsia="標楷體" w:hint="eastAsia"/>
              </w:rPr>
              <w:t>墓基使用收費標準，以使用者（非申請人）戶籍為</w:t>
            </w:r>
            <w:r>
              <w:rPr>
                <w:rFonts w:eastAsia="標楷體" w:hint="eastAsia"/>
              </w:rPr>
              <w:t>本鄉鄉民，或遷居外縣市、鄉鎮之原本鄉出生並設籍本鄉者為限。</w:t>
            </w:r>
          </w:p>
          <w:p w:rsidR="00000000" w:rsidRDefault="00854000">
            <w:pPr>
              <w:numPr>
                <w:ilvl w:val="0"/>
                <w:numId w:val="2"/>
              </w:numPr>
              <w:tabs>
                <w:tab w:val="left" w:pos="161"/>
                <w:tab w:val="left" w:pos="445"/>
                <w:tab w:val="left" w:pos="617"/>
                <w:tab w:val="left" w:pos="870"/>
              </w:tabs>
              <w:spacing w:line="0" w:lineRule="atLeast"/>
            </w:pPr>
            <w:r>
              <w:rPr>
                <w:rFonts w:eastAsia="標楷體" w:hint="eastAsia"/>
              </w:rPr>
              <w:t>使用者戶籍為他縣市或他鄉鎮市民加收管理費之</w:t>
            </w:r>
            <w:r>
              <w:rPr>
                <w:rFonts w:eastAsia="標楷體" w:hint="eastAsia"/>
              </w:rPr>
              <w:t>50</w:t>
            </w:r>
            <w:r>
              <w:rPr>
                <w:rFonts w:eastAsia="標楷體" w:hint="eastAsia"/>
              </w:rPr>
              <w:t>％使用費及廢棄物代理清潔</w:t>
            </w:r>
            <w:r>
              <w:rPr>
                <w:rFonts w:ascii="標楷體" w:eastAsia="標楷體" w:hAnsi="標楷體" w:cs="標楷體" w:hint="eastAsia"/>
              </w:rPr>
              <w:t>管理</w:t>
            </w:r>
            <w:r>
              <w:rPr>
                <w:rFonts w:eastAsia="標楷體" w:hint="eastAsia"/>
              </w:rPr>
              <w:t>費。</w:t>
            </w:r>
          </w:p>
          <w:p w:rsidR="00000000" w:rsidRDefault="00854000">
            <w:pPr>
              <w:numPr>
                <w:ilvl w:val="0"/>
                <w:numId w:val="2"/>
              </w:numPr>
              <w:tabs>
                <w:tab w:val="left" w:pos="161"/>
                <w:tab w:val="left" w:pos="445"/>
                <w:tab w:val="left" w:pos="617"/>
                <w:tab w:val="left" w:pos="870"/>
              </w:tabs>
              <w:spacing w:line="0" w:lineRule="atLeast"/>
            </w:pPr>
            <w:r>
              <w:rPr>
                <w:rFonts w:eastAsia="標楷體" w:hint="eastAsia"/>
              </w:rPr>
              <w:t>上述</w:t>
            </w:r>
            <w:r>
              <w:rPr>
                <w:rFonts w:ascii="標楷體" w:eastAsia="標楷體" w:hAnsi="標楷體" w:cs="標楷體" w:hint="eastAsia"/>
              </w:rPr>
              <w:t>費用</w:t>
            </w:r>
            <w:r>
              <w:rPr>
                <w:rFonts w:eastAsia="標楷體" w:hint="eastAsia"/>
              </w:rPr>
              <w:t>繳納，由本所填發公庫繳款書，申請人自行至公庫繳納。</w:t>
            </w:r>
          </w:p>
          <w:p w:rsidR="00000000" w:rsidRDefault="00854000">
            <w:r>
              <w:rPr>
                <w:rFonts w:ascii="標楷體" w:eastAsia="標楷體" w:hAnsi="標楷體" w:cs="標楷體" w:hint="eastAsia"/>
              </w:rPr>
              <w:t xml:space="preserve">  </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為使本自治條例第</w:t>
            </w:r>
            <w:r>
              <w:rPr>
                <w:rFonts w:ascii="標楷體" w:eastAsia="標楷體" w:hAnsi="標楷體" w:cs="標楷體" w:hint="eastAsia"/>
              </w:rPr>
              <w:t>11</w:t>
            </w:r>
            <w:r>
              <w:rPr>
                <w:rFonts w:ascii="標楷體" w:eastAsia="標楷體" w:hAnsi="標楷體" w:cs="標楷體" w:hint="eastAsia"/>
              </w:rPr>
              <w:t>、</w:t>
            </w:r>
            <w:r>
              <w:rPr>
                <w:rFonts w:ascii="標楷體" w:eastAsia="標楷體" w:hAnsi="標楷體" w:cs="標楷體" w:hint="eastAsia"/>
              </w:rPr>
              <w:t>12</w:t>
            </w:r>
            <w:r>
              <w:rPr>
                <w:rFonts w:ascii="標楷體" w:eastAsia="標楷體" w:hAnsi="標楷體" w:cs="標楷體" w:hint="eastAsia"/>
              </w:rPr>
              <w:t>及</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13</w:t>
            </w:r>
            <w:r>
              <w:rPr>
                <w:rFonts w:ascii="標楷體" w:eastAsia="標楷體" w:hAnsi="標楷體" w:cs="標楷體" w:hint="eastAsia"/>
              </w:rPr>
              <w:t>條前後條文文字連貫，文</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義明確，爰修正本自治條例</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第</w:t>
            </w:r>
            <w:r>
              <w:rPr>
                <w:rFonts w:ascii="標楷體" w:eastAsia="標楷體" w:hAnsi="標楷體" w:cs="標楷體" w:hint="eastAsia"/>
              </w:rPr>
              <w:t>11</w:t>
            </w:r>
            <w:r>
              <w:rPr>
                <w:rFonts w:ascii="標楷體" w:eastAsia="標楷體" w:hAnsi="標楷體" w:cs="標楷體" w:hint="eastAsia"/>
              </w:rPr>
              <w:t>條第</w:t>
            </w:r>
            <w:r>
              <w:rPr>
                <w:rFonts w:ascii="標楷體" w:eastAsia="標楷體" w:hAnsi="標楷體" w:cs="標楷體" w:hint="eastAsia"/>
              </w:rPr>
              <w:t>1</w:t>
            </w:r>
            <w:r>
              <w:rPr>
                <w:rFonts w:ascii="標楷體" w:eastAsia="標楷體" w:hAnsi="標楷體" w:cs="標楷體" w:hint="eastAsia"/>
              </w:rPr>
              <w:t>款墓基「管理」</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費改為墓基「使用」費、第</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2</w:t>
            </w:r>
            <w:r>
              <w:rPr>
                <w:rFonts w:ascii="標楷體" w:eastAsia="標楷體" w:hAnsi="標楷體" w:cs="標楷體" w:hint="eastAsia"/>
              </w:rPr>
              <w:t>款「廢棄物代理清潔管理費</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」修正為「廢棄物代理清</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潔費」、第</w:t>
            </w:r>
            <w:r>
              <w:rPr>
                <w:rFonts w:ascii="標楷體" w:eastAsia="標楷體" w:hAnsi="標楷體" w:cs="標楷體" w:hint="eastAsia"/>
              </w:rPr>
              <w:t>4</w:t>
            </w:r>
            <w:r>
              <w:rPr>
                <w:rFonts w:ascii="標楷體" w:eastAsia="標楷體" w:hAnsi="標楷體" w:cs="標楷體" w:hint="eastAsia"/>
              </w:rPr>
              <w:t>款「管理」費改</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為「使用」費、「廢棄物代理</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清潔管理費」修正為「廢棄</w:t>
            </w:r>
          </w:p>
          <w:p w:rsidR="00000000" w:rsidRDefault="00854000">
            <w:pPr>
              <w:tabs>
                <w:tab w:val="left" w:pos="1547"/>
                <w:tab w:val="left" w:pos="1817"/>
              </w:tabs>
              <w:spacing w:line="0" w:lineRule="atLeast"/>
              <w:ind w:left="1200" w:hanging="1200"/>
              <w:jc w:val="both"/>
            </w:pPr>
            <w:r>
              <w:rPr>
                <w:rFonts w:ascii="標楷體" w:eastAsia="標楷體" w:hAnsi="標楷體" w:cs="標楷體" w:hint="eastAsia"/>
              </w:rPr>
              <w:t>物代理清潔費」。</w:t>
            </w:r>
          </w:p>
        </w:tc>
      </w:tr>
    </w:tbl>
    <w:p w:rsidR="00E441B1" w:rsidRDefault="00E441B1">
      <w:pPr>
        <w:spacing w:line="0" w:lineRule="atLeast"/>
      </w:pPr>
    </w:p>
    <w:sectPr w:rsidR="00E441B1">
      <w:footerReference w:type="default" r:id="rId7"/>
      <w:footerReference w:type="first" r:id="rId8"/>
      <w:pgSz w:w="11906" w:h="16838"/>
      <w:pgMar w:top="680" w:right="567" w:bottom="1048" w:left="567" w:header="720"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000" w:rsidRDefault="00854000">
      <w:r>
        <w:separator/>
      </w:r>
    </w:p>
  </w:endnote>
  <w:endnote w:type="continuationSeparator" w:id="1">
    <w:p w:rsidR="00854000" w:rsidRDefault="00854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4000">
    <w:pPr>
      <w:pStyle w:val="ad"/>
      <w:ind w:right="360"/>
    </w:pPr>
    <w:r>
      <w:pict>
        <v:shapetype id="_x0000_t202" coordsize="21600,21600" o:spt="202" path="m,l,21600r21600,l21600,xe">
          <v:stroke joinstyle="miter"/>
          <v:path gradientshapeok="t" o:connecttype="rect"/>
        </v:shapetype>
        <v:shape id="_x0000_s1025" type="#_x0000_t202" style="position:absolute;margin-left:526.9pt;margin-top:.05pt;width:5pt;height:11.05pt;z-index:251657728;mso-wrap-distance-left:0;mso-wrap-distance-right:0;mso-position-horizontal:right;mso-position-horizontal-relative:page" stroked="f">
          <v:fill opacity="0" color2="black"/>
          <v:textbox inset="0,0,0,0">
            <w:txbxContent>
              <w:p w:rsidR="00000000" w:rsidRDefault="00854000">
                <w:pPr>
                  <w:pStyle w:val="ad"/>
                </w:pPr>
                <w:r>
                  <w:rPr>
                    <w:rStyle w:val="a4"/>
                  </w:rPr>
                  <w:fldChar w:fldCharType="begin"/>
                </w:r>
                <w:r>
                  <w:rPr>
                    <w:rStyle w:val="a4"/>
                  </w:rPr>
                  <w:instrText xml:space="preserve"> PAGE </w:instrText>
                </w:r>
                <w:r>
                  <w:rPr>
                    <w:rStyle w:val="a4"/>
                  </w:rPr>
                  <w:fldChar w:fldCharType="separate"/>
                </w:r>
                <w:r w:rsidR="00E441B1">
                  <w:rPr>
                    <w:rStyle w:val="a4"/>
                    <w:noProof/>
                  </w:rPr>
                  <w:t>2</w:t>
                </w:r>
                <w:r>
                  <w:rPr>
                    <w:rStyle w:val="a4"/>
                  </w:rPr>
                  <w:fldChar w:fldCharType="end"/>
                </w:r>
              </w:p>
            </w:txbxContent>
          </v:textbox>
          <w10:wrap type="square" side="largest"/>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400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000" w:rsidRDefault="00854000">
      <w:r>
        <w:separator/>
      </w:r>
    </w:p>
  </w:footnote>
  <w:footnote w:type="continuationSeparator" w:id="1">
    <w:p w:rsidR="00854000" w:rsidRDefault="00854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taiwaneseCountingThousand"/>
      <w:lvlText w:val="%1、"/>
      <w:lvlJc w:val="left"/>
      <w:pPr>
        <w:tabs>
          <w:tab w:val="num" w:pos="0"/>
        </w:tabs>
        <w:ind w:left="439" w:hanging="480"/>
      </w:pPr>
      <w:rPr>
        <w:rFonts w:hint="default"/>
      </w:rPr>
    </w:lvl>
  </w:abstractNum>
  <w:abstractNum w:abstractNumId="1">
    <w:nsid w:val="00000002"/>
    <w:multiLevelType w:val="singleLevel"/>
    <w:tmpl w:val="00000002"/>
    <w:name w:val="WW8Num7"/>
    <w:lvl w:ilvl="0">
      <w:start w:val="1"/>
      <w:numFmt w:val="taiwaneseCountingThousand"/>
      <w:lvlText w:val="%1、"/>
      <w:lvlJc w:val="left"/>
      <w:pPr>
        <w:tabs>
          <w:tab w:val="num" w:pos="0"/>
        </w:tabs>
        <w:ind w:left="799" w:hanging="480"/>
      </w:pPr>
      <w:rPr>
        <w:rFonts w:ascii="標楷體" w:eastAsia="標楷體" w:hAnsi="標楷體" w:cs="標楷體" w:hint="default"/>
      </w:rPr>
    </w:lvl>
  </w:abstractNum>
  <w:abstractNum w:abstractNumId="2">
    <w:nsid w:val="00000003"/>
    <w:multiLevelType w:val="singleLevel"/>
    <w:tmpl w:val="00000003"/>
    <w:name w:val="WW8Num13"/>
    <w:lvl w:ilvl="0">
      <w:start w:val="1"/>
      <w:numFmt w:val="taiwaneseCountingThousand"/>
      <w:lvlText w:val="%1、"/>
      <w:lvlJc w:val="left"/>
      <w:pPr>
        <w:tabs>
          <w:tab w:val="num" w:pos="0"/>
        </w:tabs>
        <w:ind w:left="720" w:hanging="480"/>
      </w:pPr>
      <w:rPr>
        <w:rFonts w:ascii="標楷體" w:eastAsia="標楷體" w:hAnsi="標楷體" w:cs="標楷體" w:hint="default"/>
      </w:rPr>
    </w:lvl>
  </w:abstractNum>
  <w:abstractNum w:abstractNumId="3">
    <w:nsid w:val="00000004"/>
    <w:multiLevelType w:val="singleLevel"/>
    <w:tmpl w:val="00000004"/>
    <w:name w:val="WW8Num20"/>
    <w:lvl w:ilvl="0">
      <w:start w:val="1"/>
      <w:numFmt w:val="taiwaneseCountingThousand"/>
      <w:lvlText w:val="%1、"/>
      <w:lvlJc w:val="left"/>
      <w:pPr>
        <w:tabs>
          <w:tab w:val="num" w:pos="0"/>
        </w:tabs>
        <w:ind w:left="547" w:hanging="480"/>
      </w:pPr>
      <w:rPr>
        <w:rFonts w:hint="default"/>
      </w:rPr>
    </w:lvl>
  </w:abstractNum>
  <w:abstractNum w:abstractNumId="4">
    <w:nsid w:val="00000005"/>
    <w:multiLevelType w:val="singleLevel"/>
    <w:tmpl w:val="00000005"/>
    <w:name w:val="WW8Num23"/>
    <w:lvl w:ilvl="0">
      <w:start w:val="1"/>
      <w:numFmt w:val="taiwaneseCountingThousand"/>
      <w:lvlText w:val="%1、"/>
      <w:lvlJc w:val="left"/>
      <w:pPr>
        <w:tabs>
          <w:tab w:val="num" w:pos="0"/>
        </w:tabs>
        <w:ind w:left="360" w:hanging="360"/>
      </w:pPr>
      <w:rPr>
        <w:rFonts w:ascii="標楷體" w:eastAsia="標楷體" w:hAnsi="標楷體" w:cs="Times New Roman"/>
      </w:rPr>
    </w:lvl>
  </w:abstractNum>
  <w:abstractNum w:abstractNumId="5">
    <w:nsid w:val="00000006"/>
    <w:multiLevelType w:val="singleLevel"/>
    <w:tmpl w:val="00000006"/>
    <w:name w:val="WW8Num25"/>
    <w:lvl w:ilvl="0">
      <w:start w:val="1"/>
      <w:numFmt w:val="taiwaneseCountingThousand"/>
      <w:lvlText w:val="%1、"/>
      <w:lvlJc w:val="left"/>
      <w:pPr>
        <w:tabs>
          <w:tab w:val="num" w:pos="0"/>
        </w:tabs>
        <w:ind w:left="799" w:hanging="480"/>
      </w:pPr>
      <w:rPr>
        <w:rFonts w:ascii="標楷體" w:eastAsia="標楷體" w:hAnsi="標楷體" w:cs="標楷體" w:hint="default"/>
      </w:rPr>
    </w:lvl>
  </w:abstractNum>
  <w:abstractNum w:abstractNumId="6">
    <w:nsid w:val="00000007"/>
    <w:multiLevelType w:val="singleLevel"/>
    <w:tmpl w:val="00000007"/>
    <w:name w:val="WW8Num27"/>
    <w:lvl w:ilvl="0">
      <w:start w:val="1"/>
      <w:numFmt w:val="taiwaneseCountingThousand"/>
      <w:lvlText w:val="%1、"/>
      <w:lvlJc w:val="left"/>
      <w:pPr>
        <w:tabs>
          <w:tab w:val="num" w:pos="0"/>
        </w:tabs>
        <w:ind w:left="720" w:hanging="480"/>
      </w:pPr>
      <w:rPr>
        <w:rFonts w:ascii="標楷體" w:eastAsia="標楷體" w:hAnsi="標楷體" w:cs="標楷體" w:hint="default"/>
      </w:r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4000"/>
    <w:rsid w:val="00854000"/>
    <w:rsid w:val="00E441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eastAsi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eastAsi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eastAsi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lang w:val="en-U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eastAsi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lang w:val="en-U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eastAsia"/>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標楷體" w:eastAsia="標楷體" w:hAnsi="標楷體" w:cs="標楷體" w:hint="default"/>
      <w:szCs w:val="3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標楷體" w:eastAsia="標楷體" w:hAnsi="標楷體" w:cs="標楷體"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標楷體" w:eastAsia="標楷體" w:hAnsi="標楷體" w:cs="標楷體"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lang w:val="en-U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a3">
    <w:name w:val="Default Paragraph Font"/>
  </w:style>
  <w:style w:type="character" w:styleId="a4">
    <w:name w:val="page number"/>
    <w:basedOn w:val="a3"/>
  </w:style>
  <w:style w:type="character" w:customStyle="1" w:styleId="a5">
    <w:name w:val="頁首 字元"/>
    <w:basedOn w:val="a3"/>
    <w:rPr>
      <w:kern w:val="2"/>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Salutation"/>
    <w:basedOn w:val="a"/>
    <w:next w:val="a"/>
    <w:rPr>
      <w:rFonts w:ascii="標楷體" w:eastAsia="標楷體" w:hAnsi="標楷體" w:cs="標楷體"/>
      <w:sz w:val="28"/>
      <w:szCs w:val="28"/>
    </w:rPr>
  </w:style>
  <w:style w:type="paragraph" w:styleId="ac">
    <w:name w:val="Closing"/>
    <w:basedOn w:val="a"/>
    <w:pPr>
      <w:ind w:left="100"/>
    </w:pPr>
    <w:rPr>
      <w:rFonts w:ascii="標楷體" w:eastAsia="標楷體" w:hAnsi="標楷體" w:cs="標楷體"/>
      <w:sz w:val="28"/>
      <w:szCs w:val="28"/>
    </w:rPr>
  </w:style>
  <w:style w:type="paragraph" w:styleId="ad">
    <w:name w:val="footer"/>
    <w:basedOn w:val="a"/>
    <w:pPr>
      <w:tabs>
        <w:tab w:val="center" w:pos="4153"/>
        <w:tab w:val="right" w:pos="8306"/>
      </w:tabs>
      <w:snapToGrid w:val="0"/>
    </w:pPr>
    <w:rPr>
      <w:sz w:val="20"/>
      <w:szCs w:val="20"/>
    </w:rPr>
  </w:style>
  <w:style w:type="paragraph" w:styleId="ae">
    <w:name w:val="Balloon Text"/>
    <w:basedOn w:val="a"/>
    <w:rPr>
      <w:rFonts w:ascii="Arial" w:hAnsi="Arial" w:cs="Arial"/>
      <w:sz w:val="18"/>
      <w:szCs w:val="18"/>
    </w:rPr>
  </w:style>
  <w:style w:type="paragraph" w:styleId="af">
    <w:name w:val="header"/>
    <w:basedOn w:val="a"/>
    <w:pPr>
      <w:tabs>
        <w:tab w:val="center" w:pos="4153"/>
        <w:tab w:val="right" w:pos="8306"/>
      </w:tabs>
      <w:snapToGrid w:val="0"/>
    </w:pPr>
    <w:rPr>
      <w:sz w:val="20"/>
      <w:szCs w:val="20"/>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 w:type="paragraph" w:customStyle="1" w:styleId="af2">
    <w:name w:val="外框內容"/>
    <w:basedOn w:val="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5920\AppData\Local\Microsoft\Windows\INetCache\IE\L5B3GAFH\376497000A_1080018418A00_ATTCH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376497000A_1080018418A00_ATTCH1</Template>
  <TotalTime>1</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雲林縣水林鄉鄉民意外死亡保險自治條例</dc:title>
  <dc:creator>ca5920</dc:creator>
  <cp:lastModifiedBy>ca5920</cp:lastModifiedBy>
  <cp:revision>1</cp:revision>
  <cp:lastPrinted>2018-03-22T04:01:00Z</cp:lastPrinted>
  <dcterms:created xsi:type="dcterms:W3CDTF">2019-12-26T08:44:00Z</dcterms:created>
  <dcterms:modified xsi:type="dcterms:W3CDTF">2019-12-26T08:45:00Z</dcterms:modified>
</cp:coreProperties>
</file>